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/>
      </w:r>
    </w:p>
    <w:tbl>
      <w:tblPr>
        <w:tblW w:w="10773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94"/>
        <w:gridCol w:w="5278"/>
      </w:tblGrid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Нерентабельный  продукт нужно снимать с производства в том случае, если: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  <w:t>в текущем периоде на него упал спрос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  <w:t xml:space="preserve">уровень его рентабельности ниже </w:t>
            </w:r>
            <w:r>
              <w:rPr>
                <w:b/>
              </w:rPr>
              <w:t>-</w:t>
            </w:r>
            <w:r>
              <w:rPr/>
              <w:t>5%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  <w:t>удельный маржинальный доход от него отрицателен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  <w:t>прибыль от него не покрывает затрат на производство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51" w:hanging="0"/>
              <w:jc w:val="both"/>
              <w:rPr/>
            </w:pPr>
            <w:r>
              <w:rPr/>
              <w:t>Расходы представляют собой:</w:t>
            </w:r>
          </w:p>
          <w:p>
            <w:pPr>
              <w:pStyle w:val="Normal"/>
              <w:numPr>
                <w:ilvl w:val="0"/>
                <w:numId w:val="5"/>
              </w:numPr>
              <w:ind w:left="351" w:hanging="0"/>
              <w:jc w:val="both"/>
              <w:rPr/>
            </w:pPr>
            <w:r>
              <w:rPr/>
              <w:t>затраты на производство продукции</w:t>
            </w:r>
          </w:p>
          <w:p>
            <w:pPr>
              <w:pStyle w:val="Normal"/>
              <w:numPr>
                <w:ilvl w:val="0"/>
                <w:numId w:val="5"/>
              </w:numPr>
              <w:ind w:left="351" w:hanging="0"/>
              <w:jc w:val="both"/>
              <w:rPr/>
            </w:pPr>
            <w:r>
              <w:rPr/>
              <w:t>расходы на освоение и подготовку производства</w:t>
            </w:r>
          </w:p>
          <w:p>
            <w:pPr>
              <w:pStyle w:val="Normal"/>
              <w:numPr>
                <w:ilvl w:val="0"/>
                <w:numId w:val="5"/>
              </w:numPr>
              <w:ind w:left="351" w:hanging="0"/>
              <w:jc w:val="both"/>
              <w:rPr/>
            </w:pPr>
            <w:r>
              <w:rPr/>
              <w:t>себестоимость выпущенной продукции</w:t>
            </w:r>
          </w:p>
          <w:p>
            <w:pPr>
              <w:pStyle w:val="Normal"/>
              <w:numPr>
                <w:ilvl w:val="0"/>
                <w:numId w:val="5"/>
              </w:numPr>
              <w:ind w:left="351" w:hanging="0"/>
              <w:jc w:val="both"/>
              <w:rPr/>
            </w:pPr>
            <w:r>
              <w:rPr/>
              <w:t>часть затрат, связанных с получением дохода</w:t>
            </w:r>
          </w:p>
          <w:p>
            <w:pPr>
              <w:pStyle w:val="Normal"/>
              <w:numPr>
                <w:ilvl w:val="0"/>
                <w:numId w:val="5"/>
              </w:numPr>
              <w:ind w:left="351" w:hanging="0"/>
              <w:jc w:val="both"/>
              <w:rPr/>
            </w:pPr>
            <w:r>
              <w:rPr/>
              <w:t>все ответы верны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Управленческий учет отличается от финансового:</w:t>
            </w:r>
          </w:p>
          <w:p>
            <w:pPr>
              <w:pStyle w:val="Normal"/>
              <w:numPr>
                <w:ilvl w:val="0"/>
                <w:numId w:val="4"/>
              </w:numPr>
              <w:ind w:hanging="0"/>
              <w:jc w:val="both"/>
              <w:rPr/>
            </w:pPr>
            <w:r>
              <w:rPr/>
              <w:t>обязательностью ведения</w:t>
            </w:r>
          </w:p>
          <w:p>
            <w:pPr>
              <w:pStyle w:val="Normal"/>
              <w:numPr>
                <w:ilvl w:val="0"/>
                <w:numId w:val="4"/>
              </w:numPr>
              <w:ind w:hanging="0"/>
              <w:jc w:val="both"/>
              <w:rPr/>
            </w:pPr>
            <w:r>
              <w:rPr/>
              <w:t>целью ведения</w:t>
            </w:r>
          </w:p>
          <w:p>
            <w:pPr>
              <w:pStyle w:val="Normal"/>
              <w:numPr>
                <w:ilvl w:val="0"/>
                <w:numId w:val="4"/>
              </w:numPr>
              <w:ind w:hanging="0"/>
              <w:jc w:val="both"/>
              <w:rPr/>
            </w:pPr>
            <w:r>
              <w:rPr/>
              <w:t>периодичностью составления отчетности</w:t>
            </w:r>
          </w:p>
          <w:p>
            <w:pPr>
              <w:pStyle w:val="Normal"/>
              <w:numPr>
                <w:ilvl w:val="0"/>
                <w:numId w:val="4"/>
              </w:numPr>
              <w:ind w:hanging="0"/>
              <w:jc w:val="both"/>
              <w:rPr/>
            </w:pPr>
            <w:r>
              <w:rPr/>
              <w:t>подходами к группировке затрат</w:t>
            </w:r>
          </w:p>
          <w:p>
            <w:pPr>
              <w:pStyle w:val="Normal"/>
              <w:numPr>
                <w:ilvl w:val="0"/>
                <w:numId w:val="4"/>
              </w:numPr>
              <w:ind w:hanging="0"/>
              <w:jc w:val="both"/>
              <w:rPr/>
            </w:pPr>
            <w:r>
              <w:rPr/>
              <w:t>все ответы верны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 снижении объёма производства удельные переменные затраты:</w:t>
            </w:r>
          </w:p>
          <w:p>
            <w:pPr>
              <w:pStyle w:val="Normal"/>
              <w:numPr>
                <w:ilvl w:val="0"/>
                <w:numId w:val="6"/>
              </w:numPr>
              <w:ind w:hanging="0"/>
              <w:jc w:val="both"/>
              <w:rPr/>
            </w:pPr>
            <w:r>
              <w:rPr/>
              <w:t>увеличатся</w:t>
            </w:r>
          </w:p>
          <w:p>
            <w:pPr>
              <w:pStyle w:val="Normal"/>
              <w:numPr>
                <w:ilvl w:val="0"/>
                <w:numId w:val="6"/>
              </w:numPr>
              <w:ind w:hanging="0"/>
              <w:jc w:val="both"/>
              <w:rPr/>
            </w:pPr>
            <w:r>
              <w:rPr/>
              <w:t>уменьшатся</w:t>
            </w:r>
          </w:p>
          <w:p>
            <w:pPr>
              <w:pStyle w:val="Normal"/>
              <w:numPr>
                <w:ilvl w:val="0"/>
                <w:numId w:val="6"/>
              </w:numPr>
              <w:ind w:hanging="0"/>
              <w:jc w:val="both"/>
              <w:rPr/>
            </w:pPr>
            <w:r>
              <w:rPr/>
              <w:t>не изменятся</w:t>
            </w:r>
          </w:p>
          <w:p>
            <w:pPr>
              <w:pStyle w:val="Normal"/>
              <w:numPr>
                <w:ilvl w:val="0"/>
                <w:numId w:val="6"/>
              </w:numPr>
              <w:ind w:hanging="0"/>
              <w:jc w:val="both"/>
              <w:rPr/>
            </w:pPr>
            <w:r>
              <w:rPr/>
              <w:t>ни один ответ не верен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Продолжите определение:</w:t>
            </w:r>
          </w:p>
          <w:p>
            <w:pPr>
              <w:pStyle w:val="Normal"/>
              <w:jc w:val="both"/>
              <w:rPr/>
            </w:pPr>
            <w:r>
              <w:rPr/>
              <w:t>Совокупный маржинальный доход это…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Для составления внешней отчетности запрещено </w:t>
            </w:r>
          </w:p>
          <w:p>
            <w:pPr>
              <w:pStyle w:val="Normal"/>
              <w:jc w:val="both"/>
              <w:rPr/>
            </w:pPr>
            <w:r>
              <w:rPr/>
              <w:t>использовать:</w:t>
            </w:r>
          </w:p>
          <w:p>
            <w:pPr>
              <w:pStyle w:val="Normal"/>
              <w:numPr>
                <w:ilvl w:val="0"/>
                <w:numId w:val="12"/>
              </w:numPr>
              <w:jc w:val="both"/>
              <w:rPr/>
            </w:pPr>
            <w:r>
              <w:rPr/>
              <w:t>калькулирование полной себестоимости</w:t>
            </w:r>
          </w:p>
          <w:p>
            <w:pPr>
              <w:pStyle w:val="Normal"/>
              <w:numPr>
                <w:ilvl w:val="0"/>
                <w:numId w:val="12"/>
              </w:numPr>
              <w:jc w:val="both"/>
              <w:rPr/>
            </w:pPr>
            <w:r>
              <w:rPr/>
              <w:t>калькулирование неполной себестоимости</w:t>
            </w:r>
          </w:p>
          <w:p>
            <w:pPr>
              <w:pStyle w:val="Normal"/>
              <w:numPr>
                <w:ilvl w:val="0"/>
                <w:numId w:val="12"/>
              </w:numPr>
              <w:jc w:val="both"/>
              <w:rPr/>
            </w:pPr>
            <w:r>
              <w:rPr/>
              <w:t>нормативный метод</w:t>
            </w:r>
          </w:p>
          <w:p>
            <w:pPr>
              <w:pStyle w:val="Normal"/>
              <w:numPr>
                <w:ilvl w:val="0"/>
                <w:numId w:val="12"/>
              </w:numPr>
              <w:jc w:val="both"/>
              <w:rPr/>
            </w:pPr>
            <w:r>
              <w:rPr/>
              <w:t>«директ-костинг»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Выручка предприятия за текущий месяц составила 1800тыс.руб., себестоимость – 1300тыс.руб. Чему будет равна прибыль, если выручка увеличится на 180тыс.руб, при условии, что сила операционного рычага равна 3: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/>
            </w:pPr>
            <w:r>
              <w:rPr/>
              <w:t>390.000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/>
            </w:pPr>
            <w:r>
              <w:rPr/>
              <w:t>650.000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/>
            </w:pPr>
            <w:r>
              <w:rPr/>
              <w:t>135.000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/>
            </w:pPr>
            <w:r>
              <w:rPr/>
              <w:t>540.000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/>
            </w:pPr>
            <w:r>
              <w:rPr/>
              <w:t>прибыль не изменится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Незавершенное производство на конец месяца отражается по счету: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/>
            </w:pPr>
            <w:r>
              <w:rPr/>
              <w:t>90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/>
            </w:pPr>
            <w:r>
              <w:rPr/>
              <w:t>43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/>
            </w:pPr>
            <w:r>
              <w:rPr/>
              <w:t>20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/>
            </w:pPr>
            <w:r>
              <w:rPr/>
              <w:t>26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/>
            </w:pPr>
            <w:r>
              <w:rPr/>
              <w:t>15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/>
            </w:pPr>
            <w:r>
              <w:rPr/>
              <w:t>10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hanging="108"/>
              <w:jc w:val="both"/>
              <w:rPr/>
            </w:pPr>
            <w:r>
              <w:rPr/>
              <w:t>Объем производства за месяц составил 10.000 ед., совокупные переменные затраты равны 1.500.000 руб., совокупные постоянные затраты равны 700.000 руб. Определить:</w:t>
            </w:r>
          </w:p>
          <w:p>
            <w:pPr>
              <w:pStyle w:val="Normal"/>
              <w:tabs>
                <w:tab w:val="left" w:pos="402" w:leader="none"/>
              </w:tabs>
              <w:spacing w:lineRule="auto" w:line="360"/>
              <w:ind w:left="402" w:right="0" w:hanging="360"/>
              <w:jc w:val="both"/>
              <w:rPr/>
            </w:pPr>
            <w:r>
              <w:rPr/>
              <w:t>краткосрочный нижний предел цены________________</w:t>
            </w:r>
          </w:p>
          <w:p>
            <w:pPr>
              <w:pStyle w:val="Normal"/>
              <w:tabs>
                <w:tab w:val="left" w:pos="402" w:leader="none"/>
              </w:tabs>
              <w:spacing w:lineRule="auto" w:line="480"/>
              <w:ind w:left="402" w:right="0" w:hanging="360"/>
              <w:jc w:val="both"/>
              <w:rPr/>
            </w:pPr>
            <w:r>
              <w:rPr/>
              <w:t>долгосрочный нижний предел цены _________________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Постоянные затраты по методу «директ-костинг» в конце отчетного периода относят в дебет счета:</w:t>
            </w:r>
          </w:p>
          <w:p>
            <w:pPr>
              <w:pStyle w:val="Normal"/>
              <w:numPr>
                <w:ilvl w:val="0"/>
                <w:numId w:val="15"/>
              </w:numPr>
              <w:jc w:val="both"/>
              <w:rPr/>
            </w:pPr>
            <w:r>
              <w:rPr/>
              <w:t>40</w:t>
            </w:r>
          </w:p>
          <w:p>
            <w:pPr>
              <w:pStyle w:val="Normal"/>
              <w:numPr>
                <w:ilvl w:val="0"/>
                <w:numId w:val="15"/>
              </w:numPr>
              <w:jc w:val="both"/>
              <w:rPr/>
            </w:pPr>
            <w:r>
              <w:rPr/>
              <w:t>43</w:t>
            </w:r>
          </w:p>
          <w:p>
            <w:pPr>
              <w:pStyle w:val="Normal"/>
              <w:numPr>
                <w:ilvl w:val="0"/>
                <w:numId w:val="15"/>
              </w:numPr>
              <w:jc w:val="both"/>
              <w:rPr/>
            </w:pPr>
            <w:r>
              <w:rPr/>
              <w:t>90</w:t>
            </w:r>
          </w:p>
          <w:p>
            <w:pPr>
              <w:pStyle w:val="Normal"/>
              <w:numPr>
                <w:ilvl w:val="0"/>
                <w:numId w:val="15"/>
              </w:numPr>
              <w:jc w:val="both"/>
              <w:rPr/>
            </w:pPr>
            <w:r>
              <w:rPr/>
              <w:t>91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Нормативная С/С выпущенной продукции учитывается:</w:t>
            </w:r>
          </w:p>
          <w:p>
            <w:pPr>
              <w:pStyle w:val="Normal"/>
              <w:numPr>
                <w:ilvl w:val="0"/>
                <w:numId w:val="1"/>
              </w:numPr>
              <w:ind w:left="360" w:hanging="43"/>
              <w:jc w:val="both"/>
              <w:rPr/>
            </w:pPr>
            <w:r>
              <w:rPr/>
              <w:t>в дебете счета 20</w:t>
            </w:r>
          </w:p>
          <w:p>
            <w:pPr>
              <w:pStyle w:val="Normal"/>
              <w:numPr>
                <w:ilvl w:val="0"/>
                <w:numId w:val="1"/>
              </w:numPr>
              <w:ind w:left="360" w:hanging="43"/>
              <w:jc w:val="both"/>
              <w:rPr/>
            </w:pPr>
            <w:r>
              <w:rPr/>
              <w:t>в кредите счета 40</w:t>
            </w:r>
          </w:p>
          <w:p>
            <w:pPr>
              <w:pStyle w:val="Normal"/>
              <w:numPr>
                <w:ilvl w:val="0"/>
                <w:numId w:val="1"/>
              </w:numPr>
              <w:ind w:left="360" w:hanging="43"/>
              <w:jc w:val="both"/>
              <w:rPr/>
            </w:pPr>
            <w:r>
              <w:rPr/>
              <w:t>в дебете счета 40</w:t>
            </w:r>
          </w:p>
          <w:p>
            <w:pPr>
              <w:pStyle w:val="Normal"/>
              <w:numPr>
                <w:ilvl w:val="0"/>
                <w:numId w:val="1"/>
              </w:numPr>
              <w:ind w:left="360" w:hanging="43"/>
              <w:jc w:val="both"/>
              <w:rPr/>
            </w:pPr>
            <w:r>
              <w:rPr/>
              <w:t>в кредите счета 90</w:t>
            </w:r>
          </w:p>
          <w:p>
            <w:pPr>
              <w:pStyle w:val="Normal"/>
              <w:numPr>
                <w:ilvl w:val="0"/>
                <w:numId w:val="1"/>
              </w:numPr>
              <w:ind w:left="360" w:hanging="43"/>
              <w:jc w:val="both"/>
              <w:rPr/>
            </w:pPr>
            <w:r>
              <w:rPr/>
              <w:t>в дебете счета 26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Объём производства составил: в октябре – 100 тыс.ед., в ноябре – 120 тыс.ед. РСЭО за эти же периоды составили 20 тыс. руб. и 22 тыс.руб. соответственно. Коэффициент реагирования затрат равен: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/>
              <w:t>10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/>
              <w:t>0,5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/>
              <w:t>0</w:t>
            </w:r>
          </w:p>
          <w:p>
            <w:pPr>
              <w:pStyle w:val="Normal"/>
              <w:numPr>
                <w:ilvl w:val="0"/>
                <w:numId w:val="16"/>
              </w:numPr>
              <w:jc w:val="both"/>
              <w:rPr/>
            </w:pPr>
            <w:r>
              <w:rPr/>
              <w:t>2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ind w:right="0" w:firstLine="34"/>
              <w:jc w:val="both"/>
              <w:rPr/>
            </w:pPr>
            <w:r>
              <w:rPr/>
              <w:t>Косвенные расходы в конце месяца могут быть списаны    проводками</w:t>
            </w:r>
          </w:p>
          <w:p>
            <w:pPr>
              <w:pStyle w:val="Normal"/>
              <w:numPr>
                <w:ilvl w:val="0"/>
                <w:numId w:val="10"/>
              </w:numPr>
              <w:ind w:left="317" w:right="0" w:hanging="43"/>
              <w:jc w:val="both"/>
              <w:rPr/>
            </w:pPr>
            <w:r>
              <w:rPr/>
              <w:t>Д20 К25,26</w:t>
            </w:r>
          </w:p>
          <w:p>
            <w:pPr>
              <w:pStyle w:val="Normal"/>
              <w:numPr>
                <w:ilvl w:val="0"/>
                <w:numId w:val="10"/>
              </w:numPr>
              <w:ind w:left="317" w:right="0" w:hanging="43"/>
              <w:jc w:val="both"/>
              <w:rPr/>
            </w:pPr>
            <w:r>
              <w:rPr/>
              <w:t>Д43 К25,26</w:t>
            </w:r>
          </w:p>
          <w:p>
            <w:pPr>
              <w:pStyle w:val="Normal"/>
              <w:numPr>
                <w:ilvl w:val="0"/>
                <w:numId w:val="10"/>
              </w:numPr>
              <w:ind w:left="317" w:right="0" w:hanging="43"/>
              <w:jc w:val="both"/>
              <w:rPr/>
            </w:pPr>
            <w:r>
              <w:rPr/>
              <w:t>Д20К25, Д90 К26</w:t>
            </w:r>
          </w:p>
          <w:p>
            <w:pPr>
              <w:pStyle w:val="Normal"/>
              <w:numPr>
                <w:ilvl w:val="0"/>
                <w:numId w:val="10"/>
              </w:numPr>
              <w:ind w:left="317" w:right="0" w:hanging="43"/>
              <w:jc w:val="both"/>
              <w:rPr/>
            </w:pPr>
            <w:r>
              <w:rPr/>
              <w:t>Д40 К25,26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точке безубыточности прибыль предприятия равна:</w:t>
            </w:r>
          </w:p>
          <w:p>
            <w:pPr>
              <w:pStyle w:val="Normal"/>
              <w:numPr>
                <w:ilvl w:val="0"/>
                <w:numId w:val="7"/>
              </w:numPr>
              <w:jc w:val="both"/>
              <w:rPr/>
            </w:pPr>
            <w:r>
              <w:rPr/>
              <w:t>нулю</w:t>
            </w:r>
          </w:p>
          <w:p>
            <w:pPr>
              <w:pStyle w:val="Normal"/>
              <w:numPr>
                <w:ilvl w:val="0"/>
                <w:numId w:val="7"/>
              </w:numPr>
              <w:jc w:val="both"/>
              <w:rPr/>
            </w:pPr>
            <w:r>
              <w:rPr/>
              <w:t>сумме прямых затрат</w:t>
            </w:r>
          </w:p>
          <w:p>
            <w:pPr>
              <w:pStyle w:val="Normal"/>
              <w:numPr>
                <w:ilvl w:val="0"/>
                <w:numId w:val="7"/>
              </w:numPr>
              <w:jc w:val="both"/>
              <w:rPr/>
            </w:pPr>
            <w:r>
              <w:rPr/>
              <w:t>сумме косвенных затрат</w:t>
            </w:r>
          </w:p>
          <w:p>
            <w:pPr>
              <w:pStyle w:val="Normal"/>
              <w:numPr>
                <w:ilvl w:val="0"/>
                <w:numId w:val="7"/>
              </w:numPr>
              <w:jc w:val="both"/>
              <w:rPr/>
            </w:pPr>
            <w:r>
              <w:rPr/>
              <w:t>маржинальному доходу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Точка безубыточности составляет 250 единиц продукции, цена одной единицы равна 500руб, выручка за месяц составила 200 тыс. руб., кромка безопасности составит:</w:t>
            </w:r>
          </w:p>
          <w:p>
            <w:pPr>
              <w:pStyle w:val="Normal"/>
              <w:numPr>
                <w:ilvl w:val="0"/>
                <w:numId w:val="8"/>
              </w:numPr>
              <w:ind w:left="360" w:hanging="43"/>
              <w:jc w:val="both"/>
              <w:rPr/>
            </w:pPr>
            <w:r>
              <w:rPr/>
              <w:t>22%</w:t>
            </w:r>
          </w:p>
          <w:p>
            <w:pPr>
              <w:pStyle w:val="Normal"/>
              <w:numPr>
                <w:ilvl w:val="0"/>
                <w:numId w:val="8"/>
              </w:numPr>
              <w:ind w:left="360" w:hanging="43"/>
              <w:jc w:val="both"/>
              <w:rPr/>
            </w:pPr>
            <w:r>
              <w:rPr/>
              <w:t>12%</w:t>
            </w:r>
          </w:p>
          <w:p>
            <w:pPr>
              <w:pStyle w:val="Normal"/>
              <w:numPr>
                <w:ilvl w:val="0"/>
                <w:numId w:val="8"/>
              </w:numPr>
              <w:ind w:left="360" w:hanging="43"/>
              <w:jc w:val="both"/>
              <w:rPr/>
            </w:pPr>
            <w:r>
              <w:rPr/>
              <w:t>37,5%</w:t>
            </w:r>
          </w:p>
          <w:p>
            <w:pPr>
              <w:pStyle w:val="Normal"/>
              <w:numPr>
                <w:ilvl w:val="0"/>
                <w:numId w:val="8"/>
              </w:numPr>
              <w:ind w:left="360" w:hanging="43"/>
              <w:jc w:val="both"/>
              <w:rPr/>
            </w:pPr>
            <w:r>
              <w:rPr/>
              <w:t>25%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Прямые затраты на производство продукции учитываются в дебете счета:</w:t>
            </w:r>
          </w:p>
          <w:p>
            <w:pPr>
              <w:pStyle w:val="Normal"/>
              <w:tabs>
                <w:tab w:val="left" w:pos="720" w:leader="none"/>
              </w:tabs>
              <w:ind w:left="720" w:hanging="36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720" w:leader="none"/>
              </w:tabs>
              <w:ind w:left="720" w:hanging="360"/>
              <w:jc w:val="both"/>
              <w:rPr/>
            </w:pPr>
            <w:r>
              <w:rPr/>
              <w:t>10</w:t>
            </w:r>
          </w:p>
          <w:p>
            <w:pPr>
              <w:pStyle w:val="Normal"/>
              <w:tabs>
                <w:tab w:val="left" w:pos="720" w:leader="none"/>
              </w:tabs>
              <w:ind w:left="720" w:hanging="360"/>
              <w:jc w:val="both"/>
              <w:rPr/>
            </w:pPr>
            <w:r>
              <w:rPr/>
              <w:t>26</w:t>
            </w:r>
          </w:p>
          <w:p>
            <w:pPr>
              <w:pStyle w:val="Normal"/>
              <w:tabs>
                <w:tab w:val="left" w:pos="720" w:leader="none"/>
              </w:tabs>
              <w:ind w:left="720" w:hanging="360"/>
              <w:jc w:val="both"/>
              <w:rPr/>
            </w:pPr>
            <w:r>
              <w:rPr/>
              <w:t>20</w:t>
            </w:r>
          </w:p>
          <w:p>
            <w:pPr>
              <w:pStyle w:val="Normal"/>
              <w:tabs>
                <w:tab w:val="left" w:pos="720" w:leader="none"/>
              </w:tabs>
              <w:ind w:left="720" w:hanging="360"/>
              <w:jc w:val="both"/>
              <w:rPr/>
            </w:pPr>
            <w:r>
              <w:rPr/>
              <w:t>90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Выбор способа распределения косвенных расходов и метода калькулирования и учета затрат: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42" w:leader="none"/>
              </w:tabs>
              <w:ind w:left="742" w:hanging="425"/>
              <w:jc w:val="both"/>
              <w:rPr/>
            </w:pPr>
            <w:r>
              <w:rPr/>
              <w:t>осуществляется предприятием самостоятельно и оговаривается в учетной политике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42" w:leader="none"/>
              </w:tabs>
              <w:ind w:left="742" w:hanging="425"/>
              <w:jc w:val="both"/>
              <w:rPr/>
            </w:pPr>
            <w:r>
              <w:rPr/>
              <w:t>осуществляется налоговыми органами по месту регистрации предприятия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42" w:leader="none"/>
              </w:tabs>
              <w:ind w:left="742" w:hanging="425"/>
              <w:jc w:val="both"/>
              <w:rPr/>
            </w:pPr>
            <w:r>
              <w:rPr/>
              <w:t xml:space="preserve">регламентирован Законом «О бух. учете» </w:t>
            </w:r>
          </w:p>
          <w:p>
            <w:pPr>
              <w:pStyle w:val="Normal"/>
              <w:numPr>
                <w:ilvl w:val="0"/>
                <w:numId w:val="2"/>
              </w:numPr>
              <w:ind w:left="360" w:hanging="43"/>
              <w:jc w:val="both"/>
              <w:rPr/>
            </w:pPr>
            <w:r>
              <w:rPr/>
              <w:t xml:space="preserve">устанавливается в соответствии с ПБУ 10/99 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Масштабная база равна 10 тыс.шт. – 30 тыс.шт. Объем производства за отчетный месяц = 18 тыс.шт., совокупные условно-постоянные расходы = 1000 тыс.руб. Каковы будут ожидаемые совокупные условно-постоянные расходы в следующем месяце, если планируется увеличить объём производства на 10%:</w:t>
            </w:r>
          </w:p>
          <w:p>
            <w:pPr>
              <w:pStyle w:val="Normal"/>
              <w:jc w:val="both"/>
              <w:rPr/>
            </w:pPr>
            <w:r>
              <w:rPr/>
              <w:t>?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 основе деления совокупных затрат на постоянные и переменные лежит:</w:t>
            </w:r>
          </w:p>
          <w:p>
            <w:pPr>
              <w:pStyle w:val="Normal"/>
              <w:numPr>
                <w:ilvl w:val="0"/>
                <w:numId w:val="11"/>
              </w:numPr>
              <w:ind w:left="317" w:hanging="43"/>
              <w:jc w:val="both"/>
              <w:rPr/>
            </w:pPr>
            <w:r>
              <w:rPr/>
              <w:t>способ включения затрат в себестоимость</w:t>
            </w:r>
          </w:p>
          <w:p>
            <w:pPr>
              <w:pStyle w:val="Normal"/>
              <w:numPr>
                <w:ilvl w:val="0"/>
                <w:numId w:val="11"/>
              </w:numPr>
              <w:ind w:left="317" w:hanging="43"/>
              <w:jc w:val="both"/>
              <w:rPr/>
            </w:pPr>
            <w:r>
              <w:rPr/>
              <w:t>периодичность их возникновения</w:t>
            </w:r>
          </w:p>
          <w:p>
            <w:pPr>
              <w:pStyle w:val="Normal"/>
              <w:numPr>
                <w:ilvl w:val="0"/>
                <w:numId w:val="11"/>
              </w:numPr>
              <w:ind w:left="317" w:hanging="43"/>
              <w:jc w:val="both"/>
              <w:rPr/>
            </w:pPr>
            <w:r>
              <w:rPr/>
              <w:t>отношение затрат к технологическому  процессу</w:t>
            </w:r>
          </w:p>
          <w:p>
            <w:pPr>
              <w:pStyle w:val="Normal"/>
              <w:numPr>
                <w:ilvl w:val="0"/>
                <w:numId w:val="11"/>
              </w:numPr>
              <w:ind w:left="317" w:hanging="43"/>
              <w:jc w:val="both"/>
              <w:rPr/>
            </w:pPr>
            <w:r>
              <w:rPr/>
              <w:t>зависимость затрат от объёма производства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Предприятие использует метод калькулирования производственной С/С. Как должны быть списаны ОХР в конце месяца:</w:t>
            </w:r>
          </w:p>
          <w:p>
            <w:pPr>
              <w:pStyle w:val="Normal"/>
              <w:numPr>
                <w:ilvl w:val="0"/>
                <w:numId w:val="9"/>
              </w:numPr>
              <w:ind w:left="360" w:hanging="43"/>
              <w:jc w:val="both"/>
              <w:rPr/>
            </w:pPr>
            <w:r>
              <w:rPr/>
              <w:t>Д20 К26, Д43 К20</w:t>
            </w:r>
          </w:p>
          <w:p>
            <w:pPr>
              <w:pStyle w:val="Normal"/>
              <w:numPr>
                <w:ilvl w:val="0"/>
                <w:numId w:val="9"/>
              </w:numPr>
              <w:ind w:left="360" w:hanging="43"/>
              <w:jc w:val="both"/>
              <w:rPr/>
            </w:pPr>
            <w:r>
              <w:rPr/>
              <w:t>Д99 К26</w:t>
            </w:r>
          </w:p>
          <w:p>
            <w:pPr>
              <w:pStyle w:val="Normal"/>
              <w:numPr>
                <w:ilvl w:val="0"/>
                <w:numId w:val="9"/>
              </w:numPr>
              <w:ind w:left="360" w:hanging="43"/>
              <w:jc w:val="both"/>
              <w:rPr/>
            </w:pPr>
            <w:r>
              <w:rPr/>
              <w:t>Д90 К26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284" w:right="282" w:header="0" w:top="284" w:footer="0" w:bottom="142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right="0" w:firstLine="34"/>
    </w:pPr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B9E5-BAAA-42EE-B725-F2E84BF4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LibreOffice/5.0.4.2$Windows_x86 LibreOffice_project/2b9802c1994aa0b7dc6079e128979269cf95bc78</Application>
  <Paragraphs>98</Paragraphs>
  <Company>ООО Арагац XXI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2016-07-02T13:13:00Z</dcterms:created>
  <dc:creator>Александра Яколевна</dc:creator>
  <dc:language>ru-RU</dc:language>
  <cp:lastModifiedBy>Oleg  Sharov</cp:lastModifiedBy>
  <cp:lastPrinted>2011-06-27T17:08:00Z</cp:lastPrinted>
  <dcterms:modified xsi:type="dcterms:W3CDTF">2016-07-17T12:49:48Z</dcterms:modified>
  <cp:revision>3</cp:revision>
  <dc:title>Косвенные расходы, как правило, учитывают на счете: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Арагац XXI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