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A" w:rsidRPr="00D9644C" w:rsidRDefault="00727E6A">
      <w:pPr>
        <w:pStyle w:val="Normal1"/>
        <w:widowControl/>
        <w:jc w:val="center"/>
        <w:textAlignment w:val="auto"/>
        <w:rPr>
          <w:rFonts w:cs="Times New Roman"/>
          <w:b/>
          <w:sz w:val="28"/>
          <w:szCs w:val="28"/>
          <w:u w:val="single"/>
          <w:lang w:val="ru-RU" w:eastAsia="ru-RU"/>
        </w:rPr>
      </w:pPr>
      <w:r w:rsidRPr="00D9644C">
        <w:rPr>
          <w:rFonts w:cs="Times New Roman"/>
          <w:b/>
          <w:sz w:val="28"/>
          <w:szCs w:val="28"/>
          <w:u w:val="single"/>
          <w:lang w:val="ru-RU" w:eastAsia="ru-RU"/>
        </w:rPr>
        <w:t>Нетрадиционные источники энергии</w: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ЗАДАНИЕ 1</w: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ind w:left="360"/>
        <w:jc w:val="both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    1.1 Привести схему и описать работу гирляндной ГЭС.</w:t>
      </w:r>
    </w:p>
    <w:p w:rsidR="00727E6A" w:rsidRDefault="00727E6A">
      <w:pPr>
        <w:pStyle w:val="Normal1"/>
        <w:widowControl/>
        <w:ind w:left="720"/>
        <w:contextualSpacing/>
        <w:jc w:val="both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1.2 Рассчитать мощность гирляндной ГЭС состоящей из n поперечных</w:t>
      </w:r>
    </w:p>
    <w:p w:rsidR="00727E6A" w:rsidRDefault="00727E6A">
      <w:pPr>
        <w:pStyle w:val="Normal1"/>
        <w:widowControl/>
        <w:jc w:val="both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турбин диаметром d. Общая длина гирлянды (активная часть) L, скорость течения водного потока v. Данные для расчетов приведены в таблице 1. Выбрать тип генератора гирляндной ГЭС. </w: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Cs w:val="20"/>
          <w:lang w:val="ru-RU" w:eastAsia="ru-RU"/>
        </w:rPr>
        <w:t xml:space="preserve">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 w:eastAsia="ru-RU"/>
        </w:rPr>
        <w:t>Таблица 1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1277"/>
        <w:gridCol w:w="1980"/>
        <w:gridCol w:w="2121"/>
        <w:gridCol w:w="1982"/>
        <w:gridCol w:w="1985"/>
      </w:tblGrid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№ варианта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Скорость водного потока v, м/с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Диаметр турбины d, м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Длина турбины </w:t>
            </w:r>
          </w:p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L, м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Количество турбин в гирлянде n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1,28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1,8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2,2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1,6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1,8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1,9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2,1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1,8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2,2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7E6A">
        <w:tc>
          <w:tcPr>
            <w:tcW w:w="1277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212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982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985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27E6A" w:rsidRDefault="00727E6A">
      <w:pPr>
        <w:pStyle w:val="Normal1"/>
        <w:widowControl/>
        <w:textAlignment w:val="auto"/>
        <w:rPr>
          <w:rFonts w:cs="Times New Roman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Методика расчета гирляндной ГЭС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numPr>
          <w:ilvl w:val="0"/>
          <w:numId w:val="1"/>
        </w:numPr>
        <w:contextualSpacing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Мощность гирлянды определяется:</w:t>
      </w:r>
    </w:p>
    <w:p w:rsidR="00727E6A" w:rsidRDefault="00727E6A">
      <w:pPr>
        <w:pStyle w:val="Normal1"/>
        <w:widowControl/>
        <w:ind w:left="720"/>
        <w:contextualSpacing/>
        <w:jc w:val="center"/>
        <w:textAlignment w:val="auto"/>
      </w:pPr>
      <w:r w:rsidRPr="00C63265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170.25pt;height:28.5pt;visibility:visible">
            <v:imagedata r:id="rId5" o:title=""/>
          </v:shape>
        </w:pict>
      </w:r>
      <w:r w:rsidRPr="00C63265">
        <w:rPr>
          <w:noProof/>
          <w:lang w:val="ru-RU" w:eastAsia="ru-RU"/>
        </w:rPr>
        <w:pict>
          <v:shape id="_x0000_i1026" type="#_x0000_t75" style="width:170.25pt;height:28.5pt;visibility:visible">
            <v:imagedata r:id="rId5" o:title=""/>
          </v:shape>
        </w:pict>
      </w: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both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где d – диаметр поперечной турбины, м, L – длина активной части гирлянды, м; v – скорость течения водного потока, м/с, η</w:t>
      </w:r>
      <w:r>
        <w:rPr>
          <w:rFonts w:cs="Times New Roman"/>
          <w:sz w:val="28"/>
          <w:szCs w:val="28"/>
          <w:vertAlign w:val="subscript"/>
          <w:lang w:val="ru-RU" w:eastAsia="ru-RU"/>
        </w:rPr>
        <w:t>Т</w:t>
      </w:r>
      <w:r>
        <w:rPr>
          <w:rFonts w:cs="Times New Roman"/>
          <w:sz w:val="28"/>
          <w:szCs w:val="28"/>
          <w:lang w:val="ru-RU" w:eastAsia="ru-RU"/>
        </w:rPr>
        <w:t xml:space="preserve"> – коэффициент, учитывающий потери энергии в турбине (для поперечных турбин η</w:t>
      </w:r>
      <w:r>
        <w:rPr>
          <w:rFonts w:cs="Times New Roman"/>
          <w:sz w:val="28"/>
          <w:szCs w:val="28"/>
          <w:vertAlign w:val="subscript"/>
          <w:lang w:val="ru-RU" w:eastAsia="ru-RU"/>
        </w:rPr>
        <w:t>Т</w:t>
      </w:r>
      <w:r>
        <w:rPr>
          <w:rFonts w:cs="Times New Roman"/>
          <w:sz w:val="28"/>
          <w:szCs w:val="28"/>
          <w:lang w:val="ru-RU" w:eastAsia="ru-RU"/>
        </w:rPr>
        <w:t xml:space="preserve"> =0,45–0,47).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Длина активной части гирлянды L определяется произведением длины одной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турбины </w:t>
      </w:r>
      <w:r>
        <w:rPr>
          <w:rFonts w:cs="Times New Roman"/>
          <w:sz w:val="28"/>
          <w:szCs w:val="28"/>
          <w:lang w:eastAsia="ru-RU"/>
        </w:rPr>
        <w:t>L</w:t>
      </w:r>
      <w:r>
        <w:rPr>
          <w:rFonts w:cs="Times New Roman"/>
          <w:sz w:val="28"/>
          <w:szCs w:val="28"/>
          <w:lang w:val="ru-RU" w:eastAsia="ru-RU"/>
        </w:rPr>
        <w:t xml:space="preserve"> на их количество в гирлянде n.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numPr>
          <w:ilvl w:val="0"/>
          <w:numId w:val="1"/>
        </w:numPr>
        <w:contextualSpacing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Определяется линейная скорость вращения троса гирлянды: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27" type="#_x0000_t75" style="width:132pt;height:39.75pt;visibility:visible">
            <v:imagedata r:id="rId6" o:title=""/>
          </v:shape>
        </w:pict>
      </w:r>
      <w:r w:rsidRPr="00C63265">
        <w:rPr>
          <w:noProof/>
          <w:lang w:val="ru-RU" w:eastAsia="ru-RU"/>
        </w:rPr>
        <w:pict>
          <v:shape id="_x0000_i1028" type="#_x0000_t75" style="width:132pt;height:39.75pt;visibility:visible">
            <v:imagedata r:id="rId6" o:title=""/>
          </v:shape>
        </w:pict>
      </w: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где R – радиус турбины, м.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numPr>
          <w:ilvl w:val="0"/>
          <w:numId w:val="1"/>
        </w:numPr>
        <w:contextualSpacing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Определяется мощность генератора</w:t>
      </w:r>
    </w:p>
    <w:p w:rsidR="00727E6A" w:rsidRDefault="00727E6A">
      <w:pPr>
        <w:pStyle w:val="Normal1"/>
        <w:widowControl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29" type="#_x0000_t75" style="width:164.25pt;height:23.25pt;visibility:visible">
            <v:imagedata r:id="rId7" o:title=""/>
          </v:shape>
        </w:pict>
      </w:r>
      <w:r w:rsidRPr="00C63265">
        <w:rPr>
          <w:noProof/>
          <w:lang w:val="ru-RU" w:eastAsia="ru-RU"/>
        </w:rPr>
        <w:pict>
          <v:shape id="_x0000_i1030" type="#_x0000_t75" style="width:164.25pt;height:23.25pt;visibility:visible">
            <v:imagedata r:id="rId7" o:title=""/>
          </v:shape>
        </w:pict>
      </w: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где η</w:t>
      </w:r>
      <w:r>
        <w:rPr>
          <w:rFonts w:cs="Times New Roman"/>
          <w:sz w:val="28"/>
          <w:szCs w:val="28"/>
          <w:vertAlign w:val="subscript"/>
          <w:lang w:val="ru-RU" w:eastAsia="ru-RU"/>
        </w:rPr>
        <w:t>ред</w:t>
      </w:r>
      <w:r>
        <w:rPr>
          <w:rFonts w:cs="Times New Roman"/>
          <w:sz w:val="28"/>
          <w:szCs w:val="28"/>
          <w:lang w:val="ru-RU" w:eastAsia="ru-RU"/>
        </w:rPr>
        <w:t xml:space="preserve"> – К.П.Д. редуктора, учитывающий потери в передаче (η</w:t>
      </w:r>
      <w:r>
        <w:rPr>
          <w:rFonts w:cs="Times New Roman"/>
          <w:sz w:val="28"/>
          <w:szCs w:val="28"/>
          <w:vertAlign w:val="subscript"/>
          <w:lang w:val="ru-RU" w:eastAsia="ru-RU"/>
        </w:rPr>
        <w:t>ред</w:t>
      </w:r>
      <w:r>
        <w:rPr>
          <w:rFonts w:cs="Times New Roman"/>
          <w:sz w:val="28"/>
          <w:szCs w:val="28"/>
          <w:lang w:val="ru-RU" w:eastAsia="ru-RU"/>
        </w:rPr>
        <w:t>=0,7–0,9); η</w:t>
      </w:r>
      <w:r>
        <w:rPr>
          <w:rFonts w:cs="Times New Roman"/>
          <w:sz w:val="28"/>
          <w:szCs w:val="28"/>
          <w:vertAlign w:val="subscript"/>
          <w:lang w:val="ru-RU" w:eastAsia="ru-RU"/>
        </w:rPr>
        <w:t>ген</w:t>
      </w:r>
      <w:r>
        <w:rPr>
          <w:rFonts w:cs="Times New Roman"/>
          <w:sz w:val="28"/>
          <w:szCs w:val="28"/>
          <w:lang w:val="ru-RU" w:eastAsia="ru-RU"/>
        </w:rPr>
        <w:t xml:space="preserve"> – К.П.Д. генератора (η</w:t>
      </w:r>
      <w:r>
        <w:rPr>
          <w:rFonts w:cs="Times New Roman"/>
          <w:sz w:val="28"/>
          <w:szCs w:val="28"/>
          <w:vertAlign w:val="subscript"/>
          <w:lang w:val="ru-RU" w:eastAsia="ru-RU"/>
        </w:rPr>
        <w:t>ген</w:t>
      </w:r>
      <w:r>
        <w:rPr>
          <w:rFonts w:cs="Times New Roman"/>
          <w:sz w:val="28"/>
          <w:szCs w:val="28"/>
          <w:lang w:val="ru-RU" w:eastAsia="ru-RU"/>
        </w:rPr>
        <w:t>=0,75–0,9).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4. По полученному значению мощности из таблицы 2 выбирается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ближайший по характеристикам тип генератора, записывается его марка и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параметры.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5.Определяется выработка электроэнергии гирляндной ГЭС за летний период:</w:t>
      </w:r>
    </w:p>
    <w:p w:rsidR="00727E6A" w:rsidRDefault="00727E6A">
      <w:pPr>
        <w:pStyle w:val="Normal1"/>
        <w:widowControl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31" type="#_x0000_t75" style="width:244.5pt;height:23.25pt;visibility:visible">
            <v:imagedata r:id="rId8" o:title=""/>
          </v:shape>
        </w:pict>
      </w:r>
      <w:r w:rsidRPr="00C63265">
        <w:rPr>
          <w:noProof/>
          <w:lang w:val="ru-RU" w:eastAsia="ru-RU"/>
        </w:rPr>
        <w:pict>
          <v:shape id="_x0000_i1032" type="#_x0000_t75" style="width:244.5pt;height:23.25pt;visibility:visible">
            <v:imagedata r:id="rId8" o:title=""/>
          </v:shape>
        </w:pict>
      </w:r>
    </w:p>
    <w:p w:rsidR="00727E6A" w:rsidRDefault="00727E6A">
      <w:pPr>
        <w:pStyle w:val="Normal1"/>
        <w:widowControl/>
        <w:ind w:left="720"/>
        <w:contextualSpacing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где N – количество дней в соответствующем месяце.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6. Определить обеспеченность электроэнергией частного дома в % от</w:t>
      </w: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потребной при условии непрерывной работы гирляндной ГЭС в течение года.</w:t>
      </w: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right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Таблица 2</w:t>
      </w: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33" type="#_x0000_t75" style="width:388.5pt;height:414pt;visibility:visible">
            <v:imagedata r:id="rId9" o:title=""/>
          </v:shape>
        </w:pic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ЗАДАНИЕ 2</w: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ind w:firstLine="708"/>
        <w:jc w:val="both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2.1 Изобразить схему и описать принцип действия геотермальной электростанции на парогидротермах.</w:t>
      </w:r>
    </w:p>
    <w:p w:rsidR="00727E6A" w:rsidRDefault="00727E6A">
      <w:pPr>
        <w:pStyle w:val="Normal1"/>
        <w:widowControl/>
        <w:ind w:firstLine="708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2.2  </w:t>
      </w:r>
      <w:r>
        <w:rPr>
          <w:rFonts w:cs="Times New Roman"/>
          <w:color w:val="000000"/>
          <w:sz w:val="28"/>
          <w:szCs w:val="28"/>
          <w:lang w:val="ru-RU"/>
        </w:rPr>
        <w:t xml:space="preserve">Исходя из заданного значения температурного градиента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q</w:t>
      </w:r>
      <w:r>
        <w:rPr>
          <w:rFonts w:cs="Times New Roman"/>
          <w:color w:val="000000"/>
          <w:sz w:val="28"/>
          <w:szCs w:val="28"/>
          <w:lang w:val="ru-RU"/>
        </w:rPr>
        <w:t>, определить тип геотермального района. Определить теплоемкость водоносного слоя С</w:t>
      </w:r>
      <w:r>
        <w:rPr>
          <w:rFonts w:cs="Times New Roman"/>
          <w:color w:val="000000"/>
          <w:sz w:val="28"/>
          <w:szCs w:val="28"/>
          <w:vertAlign w:val="subscript"/>
          <w:lang w:val="ru-RU"/>
        </w:rPr>
        <w:t>сл</w:t>
      </w:r>
      <w:r>
        <w:rPr>
          <w:rFonts w:cs="Times New Roman"/>
          <w:color w:val="000000"/>
          <w:sz w:val="28"/>
          <w:szCs w:val="28"/>
          <w:lang w:val="ru-RU"/>
        </w:rPr>
        <w:t xml:space="preserve"> и его температуру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τ</w:t>
      </w:r>
      <w:r>
        <w:rPr>
          <w:rFonts w:cs="Times New Roman"/>
          <w:i/>
          <w:iCs/>
          <w:color w:val="000000"/>
          <w:sz w:val="28"/>
          <w:szCs w:val="28"/>
          <w:vertAlign w:val="subscript"/>
          <w:lang w:val="ru-RU"/>
        </w:rPr>
        <w:t>сл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при глубине залегания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Н </w:t>
      </w:r>
      <w:r>
        <w:rPr>
          <w:rFonts w:cs="Times New Roman"/>
          <w:color w:val="000000"/>
          <w:sz w:val="28"/>
          <w:szCs w:val="28"/>
          <w:lang w:val="ru-RU"/>
        </w:rPr>
        <w:t xml:space="preserve">при заданных характеристиках породы слоя. Определить возможное время использования слоя и тепловую мощность, извлекаемую из него в начале и через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n </w:t>
      </w:r>
      <w:r>
        <w:rPr>
          <w:rFonts w:cs="Times New Roman"/>
          <w:color w:val="000000"/>
          <w:sz w:val="28"/>
          <w:szCs w:val="28"/>
          <w:lang w:val="ru-RU"/>
        </w:rPr>
        <w:t xml:space="preserve">лет эксплуатации. Площадь поверхности принять равной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F</w:t>
      </w:r>
      <w:r>
        <w:rPr>
          <w:rFonts w:cs="Times New Roman"/>
          <w:color w:val="000000"/>
          <w:sz w:val="28"/>
          <w:szCs w:val="28"/>
          <w:lang w:val="ru-RU"/>
        </w:rPr>
        <w:t>=1,0 км</w:t>
      </w:r>
      <w:r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cs="Times New Roman"/>
          <w:color w:val="000000"/>
          <w:sz w:val="28"/>
          <w:szCs w:val="28"/>
          <w:lang w:val="ru-RU"/>
        </w:rPr>
        <w:t xml:space="preserve">, пористость породы пласта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α</w:t>
      </w:r>
      <w:r>
        <w:rPr>
          <w:rFonts w:cs="Times New Roman"/>
          <w:color w:val="000000"/>
          <w:sz w:val="28"/>
          <w:szCs w:val="28"/>
          <w:lang w:val="ru-RU"/>
        </w:rPr>
        <w:t xml:space="preserve">=5%, удельную теплоемкость породы пласта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С</w:t>
      </w:r>
      <w:r>
        <w:rPr>
          <w:rFonts w:cs="Times New Roman"/>
          <w:i/>
          <w:iCs/>
          <w:color w:val="000000"/>
          <w:sz w:val="28"/>
          <w:szCs w:val="28"/>
          <w:vertAlign w:val="subscript"/>
          <w:lang w:val="ru-RU"/>
        </w:rPr>
        <w:t>п</w:t>
      </w:r>
      <w:r>
        <w:rPr>
          <w:rFonts w:cs="Times New Roman"/>
          <w:color w:val="000000"/>
          <w:sz w:val="28"/>
          <w:szCs w:val="28"/>
          <w:lang w:val="ru-RU"/>
        </w:rPr>
        <w:t xml:space="preserve">=840 Дж/(кг·К). Данные для расчета приведены в таблице 3. </w: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right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Cs w:val="20"/>
          <w:lang w:val="ru-RU" w:eastAsia="ru-RU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 w:eastAsia="ru-RU"/>
        </w:rPr>
        <w:t>Таблица 3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1278"/>
        <w:gridCol w:w="2113"/>
        <w:gridCol w:w="2061"/>
        <w:gridCol w:w="1924"/>
        <w:gridCol w:w="1973"/>
      </w:tblGrid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№ варианта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Температурный градиент </w:t>
            </w:r>
            <w:r>
              <w:rPr>
                <w:rFonts w:cs="Times New Roman"/>
                <w:sz w:val="28"/>
                <w:szCs w:val="28"/>
                <w:lang w:eastAsia="ru-RU"/>
              </w:rPr>
              <w:t>q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vertAlign w:val="superscript"/>
                <w:lang w:val="ru-RU" w:eastAsia="ru-RU"/>
              </w:rPr>
              <w:t>о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С/км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Глубина залегания слоя Н, км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Толщина слоя </w:t>
            </w:r>
            <w:r>
              <w:rPr>
                <w:rFonts w:cs="Times New Roman"/>
                <w:sz w:val="28"/>
                <w:szCs w:val="28"/>
                <w:lang w:eastAsia="ru-RU"/>
              </w:rPr>
              <w:t>b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, км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Число лет с начала эксплуатации скважины </w:t>
            </w:r>
          </w:p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n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, лет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E6A">
        <w:tc>
          <w:tcPr>
            <w:tcW w:w="1278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11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061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24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73" w:type="dxa"/>
            <w:shd w:val="clear" w:color="auto" w:fill="FFFFFF"/>
            <w:tcMar>
              <w:left w:w="98" w:type="dxa"/>
            </w:tcMar>
          </w:tcPr>
          <w:p w:rsidR="00727E6A" w:rsidRDefault="00727E6A">
            <w:pPr>
              <w:pStyle w:val="Normal1"/>
              <w:widowControl/>
              <w:jc w:val="center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Методика расчета</w:t>
      </w:r>
    </w:p>
    <w:p w:rsidR="00727E6A" w:rsidRDefault="00727E6A">
      <w:pPr>
        <w:pStyle w:val="Normal1"/>
        <w:widowControl/>
        <w:jc w:val="both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 w:val="28"/>
          <w:szCs w:val="28"/>
          <w:lang w:val="ru-RU" w:eastAsia="ru-RU"/>
        </w:rPr>
      </w:pP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 По заданному значению температурного градиента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q </w:t>
      </w:r>
      <w:r>
        <w:rPr>
          <w:rFonts w:cs="Times New Roman"/>
          <w:color w:val="000000"/>
          <w:sz w:val="28"/>
          <w:szCs w:val="28"/>
          <w:lang w:val="ru-RU"/>
        </w:rPr>
        <w:t xml:space="preserve">определяется тип геотермального района.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 Определяется теплоемкость водоносного слоя для заданного термального района: </w:t>
      </w:r>
    </w:p>
    <w:p w:rsidR="00727E6A" w:rsidRDefault="00727E6A">
      <w:pPr>
        <w:pStyle w:val="Normal1"/>
        <w:widowControl/>
        <w:suppressAutoHyphens w:val="0"/>
        <w:jc w:val="center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C63265">
        <w:rPr>
          <w:noProof/>
          <w:lang w:val="ru-RU" w:eastAsia="ru-RU"/>
        </w:rPr>
        <w:pict>
          <v:shape id="_x0000_i1034" type="#_x0000_t75" style="width:234pt;height:21.75pt;visibility:visible">
            <v:imagedata r:id="rId10" o:title=""/>
          </v:shape>
        </w:pict>
      </w:r>
      <w:r>
        <w:rPr>
          <w:rFonts w:cs="Times New Roman"/>
          <w:color w:val="000000"/>
          <w:sz w:val="28"/>
          <w:szCs w:val="28"/>
          <w:lang w:val="ru-RU"/>
        </w:rPr>
        <w:t>, Дж/К</w:t>
      </w:r>
    </w:p>
    <w:p w:rsidR="00727E6A" w:rsidRDefault="00727E6A">
      <w:pPr>
        <w:pStyle w:val="Normal1"/>
        <w:widowControl/>
        <w:suppressAutoHyphens w:val="0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где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F </w:t>
      </w:r>
      <w:r>
        <w:rPr>
          <w:rFonts w:cs="Times New Roman"/>
          <w:color w:val="000000"/>
          <w:sz w:val="28"/>
          <w:szCs w:val="28"/>
          <w:lang w:val="ru-RU"/>
        </w:rPr>
        <w:t>– площадь рассматриваемой поверхности, км</w:t>
      </w:r>
      <w:r>
        <w:rPr>
          <w:rFonts w:cs="Times New Roman"/>
          <w:color w:val="000000"/>
          <w:vertAlign w:val="superscript"/>
          <w:lang w:val="ru-RU"/>
        </w:rPr>
        <w:t>2</w:t>
      </w:r>
      <w:r>
        <w:rPr>
          <w:rFonts w:cs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b </w:t>
      </w:r>
      <w:r>
        <w:rPr>
          <w:rFonts w:cs="Times New Roman"/>
          <w:color w:val="000000"/>
          <w:sz w:val="28"/>
          <w:szCs w:val="28"/>
          <w:lang w:val="ru-RU"/>
        </w:rPr>
        <w:t xml:space="preserve">– толщина водоносного слоя, м;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α </w:t>
      </w:r>
      <w:r>
        <w:rPr>
          <w:rFonts w:cs="Times New Roman"/>
          <w:color w:val="000000"/>
          <w:sz w:val="28"/>
          <w:szCs w:val="28"/>
          <w:lang w:val="ru-RU"/>
        </w:rPr>
        <w:t xml:space="preserve">– пористость породы, о.е.;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ρ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 xml:space="preserve">в </w:t>
      </w:r>
      <w:r>
        <w:rPr>
          <w:rFonts w:cs="Times New Roman"/>
          <w:color w:val="000000"/>
          <w:sz w:val="28"/>
          <w:szCs w:val="28"/>
          <w:lang w:val="ru-RU"/>
        </w:rPr>
        <w:t>= 1000 кг/м</w:t>
      </w:r>
      <w:r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>
        <w:rPr>
          <w:rFonts w:cs="Times New Roman"/>
          <w:color w:val="000000"/>
          <w:sz w:val="18"/>
          <w:szCs w:val="1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– удельная плотность воды;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С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 xml:space="preserve">в </w:t>
      </w:r>
      <w:r>
        <w:rPr>
          <w:rFonts w:cs="Times New Roman"/>
          <w:color w:val="000000"/>
          <w:sz w:val="28"/>
          <w:szCs w:val="28"/>
          <w:lang w:val="ru-RU"/>
        </w:rPr>
        <w:t xml:space="preserve">=4180 Дж/(кг·К) – удельная теплоемкость воды;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ρ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 xml:space="preserve">п </w:t>
      </w:r>
      <w:r>
        <w:rPr>
          <w:rFonts w:cs="Times New Roman"/>
          <w:color w:val="000000"/>
          <w:sz w:val="28"/>
          <w:szCs w:val="28"/>
          <w:lang w:val="ru-RU"/>
        </w:rPr>
        <w:t xml:space="preserve">– удельная плотность породы, в расчетах принять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ρ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>п</w:t>
      </w:r>
      <w:r>
        <w:rPr>
          <w:rFonts w:cs="Times New Roman"/>
          <w:color w:val="000000"/>
          <w:sz w:val="28"/>
          <w:szCs w:val="28"/>
          <w:lang w:val="ru-RU"/>
        </w:rPr>
        <w:t>=2700 кг/м</w:t>
      </w:r>
      <w:r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>
        <w:rPr>
          <w:rFonts w:cs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С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 xml:space="preserve">п </w:t>
      </w:r>
      <w:r>
        <w:rPr>
          <w:rFonts w:cs="Times New Roman"/>
          <w:color w:val="000000"/>
          <w:sz w:val="28"/>
          <w:szCs w:val="28"/>
          <w:lang w:val="ru-RU"/>
        </w:rPr>
        <w:t xml:space="preserve">– удельная теплоемкость породы.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3. Исходная температура водоносного слоя определяется: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</w:p>
    <w:p w:rsidR="00727E6A" w:rsidRDefault="00727E6A">
      <w:pPr>
        <w:pStyle w:val="Normal1"/>
        <w:widowControl/>
        <w:suppressAutoHyphens w:val="0"/>
        <w:jc w:val="center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C63265">
        <w:rPr>
          <w:noProof/>
          <w:lang w:val="ru-RU" w:eastAsia="ru-RU"/>
        </w:rPr>
        <w:pict>
          <v:shape id="_x0000_i1035" type="#_x0000_t75" style="width:125.25pt;height:26.25pt;visibility:visible">
            <v:imagedata r:id="rId11" o:title=""/>
          </v:shape>
        </w:pict>
      </w:r>
      <w:r>
        <w:rPr>
          <w:rFonts w:cs="Times New Roman"/>
          <w:color w:val="000000"/>
          <w:sz w:val="28"/>
          <w:szCs w:val="28"/>
          <w:lang w:val="ru-RU"/>
        </w:rPr>
        <w:t xml:space="preserve">,  </w:t>
      </w:r>
    </w:p>
    <w:p w:rsidR="00727E6A" w:rsidRDefault="00727E6A">
      <w:pPr>
        <w:pStyle w:val="Normal1"/>
        <w:widowControl/>
        <w:suppressAutoHyphens w:val="0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где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τ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 xml:space="preserve">ср </w:t>
      </w:r>
      <w:r>
        <w:rPr>
          <w:rFonts w:cs="Times New Roman"/>
          <w:color w:val="000000"/>
          <w:sz w:val="28"/>
          <w:szCs w:val="28"/>
          <w:lang w:val="ru-RU"/>
        </w:rPr>
        <w:t xml:space="preserve">– средняя температура на поверхности земли, которая принимается равной 10 </w:t>
      </w:r>
      <w:r>
        <w:rPr>
          <w:rFonts w:cs="Times New Roman"/>
          <w:color w:val="000000"/>
          <w:sz w:val="18"/>
          <w:szCs w:val="18"/>
          <w:vertAlign w:val="superscript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С;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q </w:t>
      </w:r>
      <w:r>
        <w:rPr>
          <w:rFonts w:cs="Times New Roman"/>
          <w:color w:val="000000"/>
          <w:sz w:val="28"/>
          <w:szCs w:val="28"/>
          <w:lang w:val="ru-RU"/>
        </w:rPr>
        <w:t xml:space="preserve">– температурный градиент для заданного термального района, </w:t>
      </w:r>
      <w:r>
        <w:rPr>
          <w:rFonts w:cs="Times New Roman"/>
          <w:color w:val="000000"/>
          <w:sz w:val="18"/>
          <w:szCs w:val="18"/>
          <w:vertAlign w:val="superscript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С/км;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H </w:t>
      </w:r>
      <w:r>
        <w:rPr>
          <w:rFonts w:cs="Times New Roman"/>
          <w:color w:val="000000"/>
          <w:sz w:val="28"/>
          <w:szCs w:val="28"/>
          <w:lang w:val="ru-RU"/>
        </w:rPr>
        <w:t xml:space="preserve">– глубина залегания водоносного слоя, км.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4. Определяется тепловой потенциал водоносного слоя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</w:p>
    <w:p w:rsidR="00727E6A" w:rsidRDefault="00727E6A">
      <w:pPr>
        <w:pStyle w:val="Normal1"/>
        <w:widowControl/>
        <w:suppressAutoHyphens w:val="0"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36" type="#_x0000_t75" style="width:158.25pt;height:23.25pt;visibility:visible">
            <v:imagedata r:id="rId12" o:title=""/>
          </v:shape>
        </w:pict>
      </w:r>
      <w:r w:rsidRPr="00C63265">
        <w:rPr>
          <w:noProof/>
          <w:lang w:val="ru-RU" w:eastAsia="ru-RU"/>
        </w:rPr>
        <w:pict>
          <v:shape id="_x0000_i1037" type="#_x0000_t75" style="width:158.25pt;height:23.25pt;visibility:visible">
            <v:imagedata r:id="rId12" o:title=""/>
          </v:shape>
        </w:pic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где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>τ</w:t>
      </w:r>
      <w:r>
        <w:rPr>
          <w:rFonts w:cs="Times New Roman"/>
          <w:i/>
          <w:iCs/>
          <w:color w:val="000000"/>
          <w:sz w:val="18"/>
          <w:szCs w:val="18"/>
          <w:lang w:val="ru-RU"/>
        </w:rPr>
        <w:t xml:space="preserve">д </w:t>
      </w:r>
      <w:r>
        <w:rPr>
          <w:rFonts w:cs="Times New Roman"/>
          <w:color w:val="000000"/>
          <w:sz w:val="28"/>
          <w:szCs w:val="28"/>
          <w:lang w:val="ru-RU"/>
        </w:rPr>
        <w:t>– минимально допустимая температура слоя, принимается равной 40</w:t>
      </w:r>
      <w:r>
        <w:rPr>
          <w:rFonts w:cs="Times New Roman"/>
          <w:color w:val="000000"/>
          <w:sz w:val="18"/>
          <w:szCs w:val="18"/>
          <w:vertAlign w:val="superscript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С.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3"/>
          <w:szCs w:val="23"/>
          <w:lang w:val="ru-RU"/>
        </w:rPr>
      </w:pP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5. Определяется возможное время использования слоя при отводе от него тепловой энергии: </w:t>
      </w:r>
    </w:p>
    <w:p w:rsidR="00727E6A" w:rsidRDefault="00727E6A">
      <w:pPr>
        <w:pStyle w:val="Normal1"/>
        <w:widowControl/>
        <w:suppressAutoHyphens w:val="0"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38" type="#_x0000_t75" style="width:133.5pt;height:46.5pt;visibility:visible">
            <v:imagedata r:id="rId13" o:title=""/>
          </v:shape>
        </w:pict>
      </w:r>
      <w:r w:rsidRPr="00C63265">
        <w:rPr>
          <w:noProof/>
          <w:lang w:val="ru-RU" w:eastAsia="ru-RU"/>
        </w:rPr>
        <w:pict>
          <v:shape id="_x0000_i1039" type="#_x0000_t75" style="width:133.5pt;height:46.5pt;visibility:visible">
            <v:imagedata r:id="rId13" o:title=""/>
          </v:shape>
        </w:pic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где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V </w:t>
      </w:r>
      <w:r>
        <w:rPr>
          <w:rFonts w:cs="Times New Roman"/>
          <w:color w:val="000000"/>
          <w:sz w:val="28"/>
          <w:szCs w:val="28"/>
          <w:lang w:val="ru-RU"/>
        </w:rPr>
        <w:t>– объемный расход воды при ее закачке для отвода тепла, принимаем в расчетах равным 0,1 м</w:t>
      </w:r>
      <w:r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>
        <w:rPr>
          <w:rFonts w:cs="Times New Roman"/>
          <w:color w:val="000000"/>
          <w:sz w:val="28"/>
          <w:szCs w:val="28"/>
          <w:lang w:val="ru-RU"/>
        </w:rPr>
        <w:t>/(с·км</w:t>
      </w:r>
      <w:r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cs="Times New Roman"/>
          <w:color w:val="000000"/>
          <w:sz w:val="28"/>
          <w:szCs w:val="28"/>
          <w:lang w:val="ru-RU"/>
        </w:rPr>
        <w:t xml:space="preserve">).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14"/>
          <w:szCs w:val="14"/>
          <w:lang w:val="ru-RU"/>
        </w:rPr>
      </w:pP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6. Определяется тепловая мощность, извлекаемая из слоя в начале эксплуатации: </w:t>
      </w:r>
    </w:p>
    <w:p w:rsidR="00727E6A" w:rsidRDefault="00727E6A">
      <w:pPr>
        <w:pStyle w:val="Normal1"/>
        <w:widowControl/>
        <w:suppressAutoHyphens w:val="0"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40" type="#_x0000_t75" style="width:159pt;height:48.75pt;visibility:visible">
            <v:imagedata r:id="rId14" o:title=""/>
          </v:shape>
        </w:pict>
      </w:r>
      <w:r w:rsidRPr="00C63265">
        <w:rPr>
          <w:noProof/>
          <w:lang w:val="ru-RU" w:eastAsia="ru-RU"/>
        </w:rPr>
        <w:pict>
          <v:shape id="_x0000_i1041" type="#_x0000_t75" style="width:159pt;height:48.75pt;visibility:visible">
            <v:imagedata r:id="rId14" o:title=""/>
          </v:shape>
        </w:pic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7. Определяется тепловая мощность, извлекаемая из пласта через 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n </w:t>
      </w:r>
      <w:r>
        <w:rPr>
          <w:rFonts w:cs="Times New Roman"/>
          <w:color w:val="000000"/>
          <w:sz w:val="28"/>
          <w:szCs w:val="28"/>
          <w:lang w:val="ru-RU"/>
        </w:rPr>
        <w:t xml:space="preserve">лет эксплуатации: </w:t>
      </w:r>
    </w:p>
    <w:p w:rsidR="00727E6A" w:rsidRDefault="00727E6A">
      <w:pPr>
        <w:pStyle w:val="Normal1"/>
        <w:widowControl/>
        <w:suppressAutoHyphens w:val="0"/>
        <w:textAlignment w:val="auto"/>
        <w:rPr>
          <w:rFonts w:cs="Times New Roman"/>
          <w:color w:val="000000"/>
          <w:sz w:val="28"/>
          <w:szCs w:val="28"/>
          <w:lang w:val="ru-RU"/>
        </w:rPr>
      </w:pPr>
    </w:p>
    <w:p w:rsidR="00727E6A" w:rsidRDefault="00727E6A">
      <w:pPr>
        <w:pStyle w:val="Normal1"/>
        <w:widowControl/>
        <w:jc w:val="center"/>
        <w:textAlignment w:val="auto"/>
      </w:pPr>
      <w:r w:rsidRPr="00C63265">
        <w:rPr>
          <w:noProof/>
          <w:lang w:val="ru-RU" w:eastAsia="ru-RU"/>
        </w:rPr>
        <w:pict>
          <v:shape id="_x0000_i1042" type="#_x0000_t75" style="width:168pt;height:49.5pt;visibility:visible">
            <v:imagedata r:id="rId15" o:title=""/>
          </v:shape>
        </w:pict>
      </w:r>
      <w:r w:rsidRPr="00C63265">
        <w:rPr>
          <w:noProof/>
          <w:lang w:val="ru-RU" w:eastAsia="ru-RU"/>
        </w:rPr>
        <w:pict>
          <v:shape id="_x0000_i1043" type="#_x0000_t75" style="width:168pt;height:49.5pt;visibility:visible">
            <v:imagedata r:id="rId15" o:title=""/>
          </v:shape>
        </w:pict>
      </w:r>
    </w:p>
    <w:p w:rsidR="00727E6A" w:rsidRDefault="00727E6A">
      <w:pPr>
        <w:pStyle w:val="Normal1"/>
        <w:widowControl/>
        <w:jc w:val="center"/>
        <w:textAlignment w:val="auto"/>
        <w:rPr>
          <w:rFonts w:cs="Times New Roman"/>
          <w:szCs w:val="20"/>
          <w:lang w:val="ru-RU" w:eastAsia="ru-RU"/>
        </w:rPr>
      </w:pPr>
    </w:p>
    <w:p w:rsidR="00727E6A" w:rsidRDefault="00727E6A">
      <w:pPr>
        <w:pStyle w:val="Normal1"/>
      </w:pPr>
    </w:p>
    <w:p w:rsidR="00727E6A" w:rsidRDefault="00727E6A">
      <w:pPr>
        <w:pStyle w:val="Normal1"/>
      </w:pPr>
    </w:p>
    <w:p w:rsidR="00727E6A" w:rsidRDefault="00727E6A">
      <w:pPr>
        <w:pStyle w:val="Normal1"/>
      </w:pPr>
    </w:p>
    <w:p w:rsidR="00727E6A" w:rsidRDefault="00727E6A">
      <w:pPr>
        <w:pStyle w:val="Normal1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center"/>
      </w:pPr>
    </w:p>
    <w:p w:rsidR="00727E6A" w:rsidRDefault="00727E6A">
      <w:pPr>
        <w:pStyle w:val="Normal1"/>
        <w:jc w:val="both"/>
        <w:rPr>
          <w:sz w:val="28"/>
          <w:szCs w:val="28"/>
          <w:lang w:val="ru-RU"/>
        </w:rPr>
      </w:pPr>
    </w:p>
    <w:p w:rsidR="00727E6A" w:rsidRDefault="00727E6A">
      <w:pPr>
        <w:pStyle w:val="Normal1"/>
        <w:jc w:val="both"/>
        <w:rPr>
          <w:sz w:val="28"/>
          <w:szCs w:val="28"/>
          <w:lang w:val="ru-RU"/>
        </w:rPr>
      </w:pPr>
    </w:p>
    <w:p w:rsidR="00727E6A" w:rsidRPr="00E3439B" w:rsidRDefault="00727E6A">
      <w:pPr>
        <w:pStyle w:val="Normal1"/>
        <w:jc w:val="both"/>
        <w:rPr>
          <w:lang w:val="ru-RU"/>
        </w:rPr>
      </w:pPr>
    </w:p>
    <w:sectPr w:rsidR="00727E6A" w:rsidRPr="00E3439B" w:rsidSect="00BA7A8C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7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B373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A8C"/>
    <w:rsid w:val="0023204A"/>
    <w:rsid w:val="002A24F2"/>
    <w:rsid w:val="00576E75"/>
    <w:rsid w:val="00727E6A"/>
    <w:rsid w:val="00BA613B"/>
    <w:rsid w:val="00BA7A8C"/>
    <w:rsid w:val="00BC4987"/>
    <w:rsid w:val="00C63265"/>
    <w:rsid w:val="00D9644C"/>
    <w:rsid w:val="00E3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65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C63265"/>
    <w:pPr>
      <w:widowControl w:val="0"/>
      <w:suppressAutoHyphens/>
      <w:textAlignment w:val="baseline"/>
    </w:pPr>
    <w:rPr>
      <w:rFonts w:ascii="Times New Roman" w:hAnsi="Times New Roman" w:cs="Tahoma"/>
      <w:sz w:val="24"/>
      <w:szCs w:val="24"/>
      <w:lang w:val="en-US" w:eastAsia="en-US"/>
    </w:rPr>
  </w:style>
  <w:style w:type="paragraph" w:customStyle="1" w:styleId="a">
    <w:name w:val="Заголовок"/>
    <w:basedOn w:val="Normal1"/>
    <w:next w:val="BodyText"/>
    <w:uiPriority w:val="99"/>
    <w:rsid w:val="00BA7A8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1"/>
    <w:link w:val="BodyTextChar"/>
    <w:uiPriority w:val="99"/>
    <w:rsid w:val="00BA7A8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BA7A8C"/>
    <w:rPr>
      <w:rFonts w:cs="FreeSans"/>
    </w:rPr>
  </w:style>
  <w:style w:type="paragraph" w:styleId="Title">
    <w:name w:val="Title"/>
    <w:basedOn w:val="Normal1"/>
    <w:link w:val="TitleChar"/>
    <w:uiPriority w:val="99"/>
    <w:qFormat/>
    <w:rsid w:val="00BA7A8C"/>
    <w:pPr>
      <w:suppressLineNumbers/>
      <w:spacing w:before="120" w:after="120"/>
    </w:pPr>
    <w:rPr>
      <w:rFonts w:cs="FreeSans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C63265"/>
    <w:pPr>
      <w:ind w:left="220" w:hanging="220"/>
    </w:pPr>
  </w:style>
  <w:style w:type="paragraph" w:styleId="IndexHeading">
    <w:name w:val="index heading"/>
    <w:basedOn w:val="Normal1"/>
    <w:uiPriority w:val="99"/>
    <w:rsid w:val="00BA7A8C"/>
    <w:pPr>
      <w:suppressLineNumbers/>
    </w:pPr>
    <w:rPr>
      <w:rFonts w:cs="FreeSans"/>
    </w:rPr>
  </w:style>
  <w:style w:type="paragraph" w:customStyle="1" w:styleId="a0">
    <w:name w:val="Содержимое таблицы"/>
    <w:basedOn w:val="Normal1"/>
    <w:uiPriority w:val="99"/>
    <w:rsid w:val="00BA7A8C"/>
  </w:style>
  <w:style w:type="paragraph" w:customStyle="1" w:styleId="a1">
    <w:name w:val="Заголовок таблицы"/>
    <w:basedOn w:val="a0"/>
    <w:uiPriority w:val="99"/>
    <w:rsid w:val="00BA7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702</Words>
  <Characters>4002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Лариса</dc:creator>
  <cp:keywords/>
  <dc:description/>
  <cp:lastModifiedBy>Рукавишников</cp:lastModifiedBy>
  <cp:revision>3</cp:revision>
  <dcterms:created xsi:type="dcterms:W3CDTF">2016-09-29T06:03:00Z</dcterms:created>
  <dcterms:modified xsi:type="dcterms:W3CDTF">2016-09-29T06:05:00Z</dcterms:modified>
</cp:coreProperties>
</file>