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ru-RU"/>
        </w:rPr>
        <w:id w:val="-3161854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A0FAC" w:rsidRDefault="000A0FAC" w:rsidP="00523D1C">
          <w:pPr>
            <w:pStyle w:val="af3"/>
            <w:jc w:val="center"/>
            <w:rPr>
              <w:rFonts w:ascii="Times New Roman" w:hAnsi="Times New Roman" w:cs="Times New Roman"/>
              <w:b/>
              <w:color w:val="0D0D0D" w:themeColor="text1" w:themeTint="F2"/>
              <w:sz w:val="28"/>
              <w:szCs w:val="28"/>
              <w:lang w:val="ru-RU"/>
            </w:rPr>
          </w:pPr>
          <w:r w:rsidRPr="000A0FAC">
            <w:rPr>
              <w:rFonts w:ascii="Times New Roman" w:hAnsi="Times New Roman" w:cs="Times New Roman"/>
              <w:b/>
              <w:color w:val="0D0D0D" w:themeColor="text1" w:themeTint="F2"/>
              <w:sz w:val="28"/>
              <w:szCs w:val="28"/>
              <w:lang w:val="ru-RU"/>
            </w:rPr>
            <w:t>Оглавление</w:t>
          </w:r>
        </w:p>
        <w:p w:rsidR="00BA4D26" w:rsidRPr="00BA4D26" w:rsidRDefault="00BA4D26" w:rsidP="00BA4D26"/>
        <w:p w:rsidR="000A0FAC" w:rsidRPr="00BA4D26" w:rsidRDefault="009C4245" w:rsidP="00BA4D26">
          <w:pPr>
            <w:pStyle w:val="11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</w:rPr>
          </w:pPr>
          <w:r w:rsidRPr="000A0FAC">
            <w:rPr>
              <w:rFonts w:ascii="Times New Roman" w:hAnsi="Times New Roman" w:cs="Times New Roman"/>
              <w:b/>
              <w:color w:val="0D0D0D" w:themeColor="text1" w:themeTint="F2"/>
              <w:sz w:val="28"/>
              <w:szCs w:val="28"/>
            </w:rPr>
            <w:fldChar w:fldCharType="begin"/>
          </w:r>
          <w:r w:rsidR="000A0FAC" w:rsidRPr="000A0FAC">
            <w:rPr>
              <w:rFonts w:ascii="Times New Roman" w:hAnsi="Times New Roman" w:cs="Times New Roman"/>
              <w:b/>
              <w:color w:val="0D0D0D" w:themeColor="text1" w:themeTint="F2"/>
              <w:sz w:val="28"/>
              <w:szCs w:val="28"/>
            </w:rPr>
            <w:instrText xml:space="preserve"> TOC \o "1-3" \h \z \u </w:instrText>
          </w:r>
          <w:r w:rsidRPr="000A0FAC">
            <w:rPr>
              <w:rFonts w:ascii="Times New Roman" w:hAnsi="Times New Roman" w:cs="Times New Roman"/>
              <w:b/>
              <w:color w:val="0D0D0D" w:themeColor="text1" w:themeTint="F2"/>
              <w:sz w:val="28"/>
              <w:szCs w:val="28"/>
            </w:rPr>
            <w:fldChar w:fldCharType="separate"/>
          </w:r>
          <w:hyperlink w:anchor="_Toc449580297" w:history="1">
            <w:r w:rsidR="000A0FAC" w:rsidRPr="00BA4D26">
              <w:rPr>
                <w:rStyle w:val="a8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Введение</w:t>
            </w:r>
            <w:r w:rsidR="000A0FAC" w:rsidRPr="00BA4D26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E03B9B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3</w:t>
            </w:r>
          </w:hyperlink>
        </w:p>
        <w:p w:rsidR="000A0FAC" w:rsidRPr="00BA4D26" w:rsidRDefault="00381461" w:rsidP="00BA4D26">
          <w:pPr>
            <w:pStyle w:val="11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</w:rPr>
          </w:pPr>
          <w:hyperlink w:anchor="_Toc449580298" w:history="1">
            <w:r w:rsidR="000A0FAC" w:rsidRPr="00BA4D26">
              <w:rPr>
                <w:rStyle w:val="a8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Глава 1. Особенности инвестирования пенсионных средств граждан на рынке ценных бумаг</w:t>
            </w:r>
            <w:r w:rsidR="000A0FAC" w:rsidRPr="00BA4D26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CC30E8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5</w:t>
            </w:r>
          </w:hyperlink>
        </w:p>
        <w:p w:rsidR="000A0FAC" w:rsidRPr="00BA4D26" w:rsidRDefault="00381461" w:rsidP="00BA4D26">
          <w:pPr>
            <w:pStyle w:val="11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</w:rPr>
          </w:pPr>
          <w:hyperlink w:anchor="_Toc449580299" w:history="1">
            <w:r w:rsidR="000A0FAC" w:rsidRPr="00BA4D26">
              <w:rPr>
                <w:rStyle w:val="a8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1.1. Основы пенсионного инвестирования</w:t>
            </w:r>
            <w:r w:rsidR="000A0FAC" w:rsidRPr="00BA4D26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CC30E8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5</w:t>
            </w:r>
          </w:hyperlink>
        </w:p>
        <w:p w:rsidR="000A0FAC" w:rsidRDefault="00381461" w:rsidP="00BA4D26">
          <w:pPr>
            <w:pStyle w:val="11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</w:rPr>
          </w:pPr>
          <w:hyperlink w:anchor="_Toc449580300" w:history="1">
            <w:r w:rsidR="000A0FAC" w:rsidRPr="00BA4D26">
              <w:rPr>
                <w:rStyle w:val="a8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 xml:space="preserve">1.2. </w:t>
            </w:r>
            <w:r w:rsidR="00E1567E">
              <w:rPr>
                <w:rStyle w:val="a8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Анализ статистики по НПФ</w:t>
            </w:r>
            <w:r w:rsidR="000A0FAC" w:rsidRPr="00BA4D26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CC30E8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8</w:t>
            </w:r>
          </w:hyperlink>
        </w:p>
        <w:p w:rsidR="00E1567E" w:rsidRPr="00BA4D26" w:rsidRDefault="00381461" w:rsidP="00E1567E">
          <w:pPr>
            <w:pStyle w:val="11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</w:rPr>
          </w:pPr>
          <w:hyperlink w:anchor="_Toc449580305" w:history="1">
            <w:r w:rsidR="00E1567E" w:rsidRPr="00BA4D26">
              <w:rPr>
                <w:rStyle w:val="a8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Заключение</w:t>
            </w:r>
            <w:r w:rsidR="00E1567E" w:rsidRPr="00BA4D26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E42EF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12</w:t>
            </w:r>
          </w:hyperlink>
        </w:p>
        <w:p w:rsidR="00E1567E" w:rsidRPr="00E1567E" w:rsidRDefault="00381461" w:rsidP="00E1567E">
          <w:pPr>
            <w:pStyle w:val="11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b/>
              <w:noProof/>
              <w:color w:val="0D0D0D" w:themeColor="text1" w:themeTint="F2"/>
              <w:sz w:val="28"/>
              <w:szCs w:val="28"/>
            </w:rPr>
          </w:pPr>
          <w:hyperlink w:anchor="_Toc449580306" w:history="1">
            <w:r w:rsidR="00E1567E" w:rsidRPr="00BA4D26">
              <w:rPr>
                <w:rStyle w:val="a8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Список использованной литературы</w:t>
            </w:r>
            <w:r w:rsidR="00E1567E" w:rsidRPr="00BA4D26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</w:hyperlink>
          <w:r w:rsidR="00E42EF2"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</w:rPr>
            <w:t>13</w:t>
          </w:r>
        </w:p>
        <w:p w:rsidR="000A0FAC" w:rsidRPr="00BA4D26" w:rsidRDefault="00381461" w:rsidP="00BA4D26">
          <w:pPr>
            <w:pStyle w:val="11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</w:rPr>
          </w:pPr>
          <w:hyperlink w:anchor="_Toc449580301" w:history="1">
            <w:r w:rsidR="000A0FAC" w:rsidRPr="00BA4D26">
              <w:rPr>
                <w:rStyle w:val="a8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Глава 2. Формирование оптимального портфеля ценных бумаг с     применением теории Марковица</w:t>
            </w:r>
            <w:r w:rsidR="000A0FAC" w:rsidRPr="00BA4D26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E42EF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14</w:t>
            </w:r>
          </w:hyperlink>
        </w:p>
        <w:p w:rsidR="000A0FAC" w:rsidRPr="00BA4D26" w:rsidRDefault="00381461" w:rsidP="00BA4D26">
          <w:pPr>
            <w:pStyle w:val="11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</w:rPr>
          </w:pPr>
          <w:hyperlink w:anchor="_Toc449580302" w:history="1">
            <w:r w:rsidR="000A0FAC" w:rsidRPr="00BA4D26">
              <w:rPr>
                <w:rStyle w:val="a8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2.1. Исходные данные</w:t>
            </w:r>
            <w:r w:rsidR="000A0FAC" w:rsidRPr="00BA4D26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E42EF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14</w:t>
            </w:r>
          </w:hyperlink>
        </w:p>
        <w:p w:rsidR="000A0FAC" w:rsidRPr="00BA4D26" w:rsidRDefault="00381461" w:rsidP="00BA4D26">
          <w:pPr>
            <w:pStyle w:val="11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</w:rPr>
          </w:pPr>
          <w:hyperlink w:anchor="_Toc449580303" w:history="1">
            <w:r w:rsidR="000A0FAC" w:rsidRPr="00BA4D26">
              <w:rPr>
                <w:rStyle w:val="a8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2.2. Сбор статистических данных</w:t>
            </w:r>
            <w:r w:rsidR="000A0FAC" w:rsidRPr="00BA4D26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E42EF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14</w:t>
            </w:r>
          </w:hyperlink>
        </w:p>
        <w:p w:rsidR="000A0FAC" w:rsidRPr="00BA4D26" w:rsidRDefault="00381461" w:rsidP="00BA4D26">
          <w:pPr>
            <w:pStyle w:val="11"/>
            <w:tabs>
              <w:tab w:val="right" w:leader="dot" w:pos="9345"/>
            </w:tabs>
            <w:spacing w:line="276" w:lineRule="auto"/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</w:rPr>
          </w:pPr>
          <w:hyperlink w:anchor="_Toc449580304" w:history="1">
            <w:r w:rsidR="000A0FAC" w:rsidRPr="00BA4D26">
              <w:rPr>
                <w:rStyle w:val="a8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2.3. Анализ портфеля ценных бумаг</w:t>
            </w:r>
            <w:r w:rsidR="000A0FAC" w:rsidRPr="00BA4D26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E42EF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1</w:t>
            </w:r>
          </w:hyperlink>
          <w:bookmarkStart w:id="0" w:name="_GoBack"/>
          <w:bookmarkEnd w:id="0"/>
        </w:p>
        <w:p w:rsidR="000A0FAC" w:rsidRDefault="009C4245">
          <w:r w:rsidRPr="000A0FAC">
            <w:rPr>
              <w:rFonts w:ascii="Times New Roman" w:hAnsi="Times New Roman" w:cs="Times New Roman"/>
              <w:b/>
              <w:bCs/>
              <w:color w:val="0D0D0D" w:themeColor="text1" w:themeTint="F2"/>
              <w:sz w:val="28"/>
              <w:szCs w:val="28"/>
            </w:rPr>
            <w:fldChar w:fldCharType="end"/>
          </w:r>
        </w:p>
      </w:sdtContent>
    </w:sdt>
    <w:p w:rsidR="003F76B1" w:rsidRPr="00B07BEF" w:rsidRDefault="003F76B1" w:rsidP="00B07B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6B1" w:rsidRPr="00B07BEF" w:rsidRDefault="003F76B1" w:rsidP="00B07B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6B1" w:rsidRPr="00B07BEF" w:rsidRDefault="003F76B1" w:rsidP="00B07B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6B1" w:rsidRPr="00B07BEF" w:rsidRDefault="003F76B1" w:rsidP="00B07B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6B1" w:rsidRPr="00B07BEF" w:rsidRDefault="003F76B1" w:rsidP="00B07B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6B1" w:rsidRPr="00B07BEF" w:rsidRDefault="003F76B1" w:rsidP="00B07B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6B1" w:rsidRPr="00B07BEF" w:rsidRDefault="003F76B1" w:rsidP="00B07B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6B1" w:rsidRDefault="003F76B1" w:rsidP="00B07B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BEF" w:rsidRDefault="00B07BEF" w:rsidP="00B07B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BEF" w:rsidRDefault="00B07BEF" w:rsidP="00B07B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BEF" w:rsidRDefault="00B07BEF" w:rsidP="00B07B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BEF" w:rsidRDefault="00B07BEF" w:rsidP="00B07B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BEF" w:rsidRDefault="00B07BEF" w:rsidP="00B07B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BEF" w:rsidRDefault="00B07BEF" w:rsidP="00B07B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D45" w:rsidRDefault="000A4D45" w:rsidP="000A4D45">
      <w:pPr>
        <w:pStyle w:val="TNR"/>
        <w:jc w:val="center"/>
        <w:outlineLvl w:val="0"/>
        <w:rPr>
          <w:b/>
        </w:rPr>
      </w:pPr>
      <w:bookmarkStart w:id="1" w:name="_Toc449580298"/>
    </w:p>
    <w:p w:rsidR="003526AC" w:rsidRPr="003526AC" w:rsidRDefault="003526AC" w:rsidP="003526AC">
      <w:pPr>
        <w:pStyle w:val="TNR"/>
        <w:jc w:val="center"/>
        <w:outlineLvl w:val="0"/>
        <w:rPr>
          <w:b/>
        </w:rPr>
      </w:pPr>
      <w:bookmarkStart w:id="2" w:name="_Toc449580301"/>
      <w:bookmarkEnd w:id="1"/>
      <w:r w:rsidRPr="00E21921">
        <w:rPr>
          <w:b/>
        </w:rPr>
        <w:lastRenderedPageBreak/>
        <w:t>Введение</w:t>
      </w:r>
    </w:p>
    <w:p w:rsidR="003526AC" w:rsidRDefault="003526AC" w:rsidP="005F6AF1">
      <w:pPr>
        <w:pStyle w:val="TNR"/>
        <w:ind w:left="-567"/>
        <w:outlineLvl w:val="0"/>
      </w:pPr>
      <w:r>
        <w:t>Рано или поздно каждый человек достигает пенсионного возраста, когда его благосостояние становится полностью зависимым от социальной помощи. В виду неустойчивого состояния деятельности пенсионной системы в нашей стране, возникает беспокойство россиян по поводу пенсионных начислений и их размеров.</w:t>
      </w:r>
    </w:p>
    <w:p w:rsidR="003526AC" w:rsidRDefault="003526AC" w:rsidP="005F6AF1">
      <w:pPr>
        <w:pStyle w:val="TNR"/>
        <w:ind w:left="-567"/>
        <w:outlineLvl w:val="0"/>
      </w:pPr>
      <w:r>
        <w:t xml:space="preserve">Пенсионные фонды предоставляют шанс организовать свой дополнительный или основный доход людям, достигшим пожилого возраста, а </w:t>
      </w:r>
      <w:r w:rsidR="00E42EF2">
        <w:t>также</w:t>
      </w:r>
      <w:r>
        <w:t xml:space="preserve"> будущим пенсионерам. Такая возможность появилась в ходе внедрения реформы пенсионных начислений.</w:t>
      </w:r>
    </w:p>
    <w:p w:rsidR="003526AC" w:rsidRDefault="003526AC" w:rsidP="005F6AF1">
      <w:pPr>
        <w:pStyle w:val="TNR"/>
        <w:ind w:left="-567"/>
        <w:outlineLvl w:val="0"/>
      </w:pPr>
      <w:r>
        <w:t xml:space="preserve">Основу механизма пенсионного обеспечения в нашей стране по средствам НПФ составляет «принцип долгосрочного сбережения средств», которые поступают на финансовые счета граждан нашей страны в форме финансовых отчислений работодателей, а </w:t>
      </w:r>
      <w:r w:rsidR="00E42EF2">
        <w:t>так же</w:t>
      </w:r>
      <w:r>
        <w:t xml:space="preserve"> инвестирования активов НПФ. </w:t>
      </w:r>
    </w:p>
    <w:p w:rsidR="003526AC" w:rsidRDefault="003526AC" w:rsidP="005F6AF1">
      <w:pPr>
        <w:pStyle w:val="TNR"/>
        <w:ind w:left="-567"/>
        <w:outlineLvl w:val="0"/>
      </w:pPr>
      <w:r>
        <w:t>Актуальность выбранной темы для курсовой работы определяется текущим положением в необходимости исследования негосударственных пенсионных фондов не только как механизма социальной защиты граждан, но и с точки зрения его их макроэкономической роли в инвестиционных и сберегательных процессах.</w:t>
      </w:r>
    </w:p>
    <w:p w:rsidR="003526AC" w:rsidRDefault="003526AC" w:rsidP="005F6AF1">
      <w:pPr>
        <w:pStyle w:val="TNR"/>
        <w:ind w:left="-567"/>
        <w:outlineLvl w:val="0"/>
      </w:pPr>
      <w:r>
        <w:t xml:space="preserve">В качестве объекта исследования в данной работе стали пенсионные фонды, а </w:t>
      </w:r>
      <w:r w:rsidR="00E42EF2">
        <w:t>предметом -</w:t>
      </w:r>
      <w:r>
        <w:t xml:space="preserve"> особенности процессов инвестирования пенсионных средств на рынке ценных бумаг гражданами нашей страны.</w:t>
      </w:r>
    </w:p>
    <w:p w:rsidR="003526AC" w:rsidRDefault="003526AC" w:rsidP="005F6AF1">
      <w:pPr>
        <w:pStyle w:val="TNR"/>
        <w:ind w:left="-567"/>
        <w:outlineLvl w:val="0"/>
      </w:pPr>
      <w:r>
        <w:t xml:space="preserve">Целью данной курсовой работы </w:t>
      </w:r>
      <w:r w:rsidR="00E42EF2">
        <w:t>является -</w:t>
      </w:r>
      <w:r>
        <w:t xml:space="preserve"> Рассмотрение и выявление теоретических аспектов выбранной темы, а так же практическое формирование оптимальный портфель ценных бумаг, проведение анализа портфеля ЦБ.</w:t>
      </w:r>
    </w:p>
    <w:p w:rsidR="003526AC" w:rsidRDefault="003526AC" w:rsidP="005F6AF1">
      <w:pPr>
        <w:pStyle w:val="TNR"/>
        <w:ind w:left="-567"/>
        <w:outlineLvl w:val="0"/>
      </w:pPr>
      <w:r>
        <w:t>Для достижения поставленной цели необходимо выполнить следующие задачи:</w:t>
      </w:r>
    </w:p>
    <w:p w:rsidR="003526AC" w:rsidRPr="00E21921" w:rsidRDefault="003526AC" w:rsidP="003526AC">
      <w:pPr>
        <w:pStyle w:val="TNR"/>
        <w:numPr>
          <w:ilvl w:val="0"/>
          <w:numId w:val="9"/>
        </w:numPr>
        <w:ind w:left="-567" w:firstLine="567"/>
      </w:pPr>
      <w:r>
        <w:t>Определить понятие пенсионного инвестирования</w:t>
      </w:r>
    </w:p>
    <w:p w:rsidR="003526AC" w:rsidRPr="00E21921" w:rsidRDefault="003526AC" w:rsidP="003526AC">
      <w:pPr>
        <w:pStyle w:val="TNR"/>
        <w:numPr>
          <w:ilvl w:val="0"/>
          <w:numId w:val="9"/>
        </w:numPr>
        <w:ind w:left="-567" w:firstLine="567"/>
      </w:pPr>
      <w:r w:rsidRPr="00E21921">
        <w:t>Рассмотреть предложения по совершенствованию определения окончательного</w:t>
      </w:r>
      <w:r>
        <w:t xml:space="preserve"> </w:t>
      </w:r>
      <w:r w:rsidRPr="00E21921">
        <w:t>размера пенсии</w:t>
      </w:r>
      <w:r>
        <w:t>.</w:t>
      </w:r>
    </w:p>
    <w:p w:rsidR="003526AC" w:rsidRPr="00E21921" w:rsidRDefault="003526AC" w:rsidP="003526AC">
      <w:pPr>
        <w:pStyle w:val="TNR"/>
        <w:numPr>
          <w:ilvl w:val="0"/>
          <w:numId w:val="9"/>
        </w:numPr>
        <w:ind w:left="-567" w:firstLine="567"/>
      </w:pPr>
      <w:r w:rsidRPr="00E21921">
        <w:t>Собрать статистические данные о динамике рыночных цен на акции различных компаний</w:t>
      </w:r>
      <w:r>
        <w:t>.</w:t>
      </w:r>
    </w:p>
    <w:p w:rsidR="003526AC" w:rsidRDefault="003526AC" w:rsidP="003526AC">
      <w:pPr>
        <w:pStyle w:val="TNR"/>
        <w:numPr>
          <w:ilvl w:val="0"/>
          <w:numId w:val="9"/>
        </w:numPr>
        <w:ind w:left="-567" w:firstLine="567"/>
      </w:pPr>
      <w:r w:rsidRPr="00E21921">
        <w:t>Провести анализ портфеля ценных бумаг</w:t>
      </w:r>
      <w:r>
        <w:t>.</w:t>
      </w:r>
    </w:p>
    <w:p w:rsidR="003526AC" w:rsidRDefault="003526AC" w:rsidP="003526AC">
      <w:pPr>
        <w:pStyle w:val="TNR"/>
        <w:ind w:left="-567" w:firstLine="567"/>
      </w:pPr>
      <w:r>
        <w:t>Практическая значимость исследования определяется в необходимости развития системы инвестирования пенсионных средств.</w:t>
      </w:r>
    </w:p>
    <w:p w:rsidR="003526AC" w:rsidRPr="00E21921" w:rsidRDefault="003526AC" w:rsidP="003526AC">
      <w:pPr>
        <w:pStyle w:val="TNR"/>
        <w:ind w:left="-567" w:firstLine="567"/>
      </w:pPr>
      <w:r>
        <w:t>Структура работы представлена введением, двумя главами в четырех параграфах, заключением, списком использованной литературы.</w:t>
      </w:r>
    </w:p>
    <w:p w:rsidR="003526AC" w:rsidRDefault="003526AC" w:rsidP="001F791B">
      <w:pPr>
        <w:pStyle w:val="TNR"/>
        <w:jc w:val="center"/>
        <w:outlineLvl w:val="0"/>
        <w:rPr>
          <w:b/>
        </w:rPr>
      </w:pPr>
    </w:p>
    <w:p w:rsidR="003526AC" w:rsidRDefault="003526AC" w:rsidP="001F791B">
      <w:pPr>
        <w:pStyle w:val="TNR"/>
        <w:jc w:val="center"/>
        <w:outlineLvl w:val="0"/>
        <w:rPr>
          <w:b/>
        </w:rPr>
      </w:pPr>
    </w:p>
    <w:p w:rsidR="003526AC" w:rsidRDefault="003526AC" w:rsidP="001F791B">
      <w:pPr>
        <w:pStyle w:val="TNR"/>
        <w:jc w:val="center"/>
        <w:outlineLvl w:val="0"/>
        <w:rPr>
          <w:b/>
        </w:rPr>
      </w:pPr>
    </w:p>
    <w:p w:rsidR="003526AC" w:rsidRDefault="003526AC" w:rsidP="001F791B">
      <w:pPr>
        <w:pStyle w:val="TNR"/>
        <w:jc w:val="center"/>
        <w:outlineLvl w:val="0"/>
        <w:rPr>
          <w:b/>
        </w:rPr>
      </w:pPr>
    </w:p>
    <w:p w:rsidR="003526AC" w:rsidRDefault="003526AC" w:rsidP="001F791B">
      <w:pPr>
        <w:pStyle w:val="TNR"/>
        <w:jc w:val="center"/>
        <w:outlineLvl w:val="0"/>
        <w:rPr>
          <w:b/>
        </w:rPr>
      </w:pPr>
    </w:p>
    <w:p w:rsidR="003526AC" w:rsidRDefault="003526AC" w:rsidP="001F791B">
      <w:pPr>
        <w:pStyle w:val="TNR"/>
        <w:jc w:val="center"/>
        <w:outlineLvl w:val="0"/>
        <w:rPr>
          <w:b/>
        </w:rPr>
      </w:pPr>
    </w:p>
    <w:p w:rsidR="003526AC" w:rsidRDefault="003526AC" w:rsidP="001F791B">
      <w:pPr>
        <w:pStyle w:val="TNR"/>
        <w:jc w:val="center"/>
        <w:outlineLvl w:val="0"/>
        <w:rPr>
          <w:b/>
        </w:rPr>
      </w:pPr>
    </w:p>
    <w:p w:rsidR="003526AC" w:rsidRDefault="003526AC" w:rsidP="001F791B">
      <w:pPr>
        <w:pStyle w:val="TNR"/>
        <w:jc w:val="center"/>
        <w:outlineLvl w:val="0"/>
        <w:rPr>
          <w:b/>
        </w:rPr>
      </w:pPr>
    </w:p>
    <w:p w:rsidR="003526AC" w:rsidRDefault="003526AC" w:rsidP="001F791B">
      <w:pPr>
        <w:pStyle w:val="TNR"/>
        <w:jc w:val="center"/>
        <w:outlineLvl w:val="0"/>
        <w:rPr>
          <w:b/>
        </w:rPr>
      </w:pPr>
    </w:p>
    <w:p w:rsidR="003526AC" w:rsidRDefault="003526AC" w:rsidP="001F791B">
      <w:pPr>
        <w:pStyle w:val="TNR"/>
        <w:jc w:val="center"/>
        <w:outlineLvl w:val="0"/>
        <w:rPr>
          <w:b/>
        </w:rPr>
      </w:pPr>
    </w:p>
    <w:p w:rsidR="003526AC" w:rsidRDefault="003526AC" w:rsidP="001F791B">
      <w:pPr>
        <w:pStyle w:val="TNR"/>
        <w:jc w:val="center"/>
        <w:outlineLvl w:val="0"/>
        <w:rPr>
          <w:b/>
        </w:rPr>
      </w:pPr>
    </w:p>
    <w:p w:rsidR="003526AC" w:rsidRDefault="003526AC" w:rsidP="001F791B">
      <w:pPr>
        <w:pStyle w:val="TNR"/>
        <w:jc w:val="center"/>
        <w:outlineLvl w:val="0"/>
        <w:rPr>
          <w:b/>
        </w:rPr>
      </w:pPr>
    </w:p>
    <w:p w:rsidR="003526AC" w:rsidRDefault="003526AC" w:rsidP="001F791B">
      <w:pPr>
        <w:pStyle w:val="TNR"/>
        <w:jc w:val="center"/>
        <w:outlineLvl w:val="0"/>
        <w:rPr>
          <w:b/>
        </w:rPr>
      </w:pPr>
    </w:p>
    <w:p w:rsidR="003526AC" w:rsidRDefault="003526AC" w:rsidP="001F791B">
      <w:pPr>
        <w:pStyle w:val="TNR"/>
        <w:jc w:val="center"/>
        <w:outlineLvl w:val="0"/>
        <w:rPr>
          <w:b/>
        </w:rPr>
      </w:pPr>
    </w:p>
    <w:p w:rsidR="003526AC" w:rsidRDefault="003526AC" w:rsidP="001F791B">
      <w:pPr>
        <w:pStyle w:val="TNR"/>
        <w:jc w:val="center"/>
        <w:outlineLvl w:val="0"/>
        <w:rPr>
          <w:b/>
        </w:rPr>
      </w:pPr>
    </w:p>
    <w:p w:rsidR="003526AC" w:rsidRDefault="003526AC" w:rsidP="001F791B">
      <w:pPr>
        <w:pStyle w:val="TNR"/>
        <w:jc w:val="center"/>
        <w:outlineLvl w:val="0"/>
        <w:rPr>
          <w:b/>
        </w:rPr>
      </w:pPr>
    </w:p>
    <w:p w:rsidR="003526AC" w:rsidRDefault="003526AC" w:rsidP="001F791B">
      <w:pPr>
        <w:pStyle w:val="TNR"/>
        <w:jc w:val="center"/>
        <w:outlineLvl w:val="0"/>
        <w:rPr>
          <w:b/>
        </w:rPr>
      </w:pPr>
    </w:p>
    <w:p w:rsidR="003526AC" w:rsidRDefault="003526AC" w:rsidP="001F791B">
      <w:pPr>
        <w:pStyle w:val="TNR"/>
        <w:jc w:val="center"/>
        <w:outlineLvl w:val="0"/>
        <w:rPr>
          <w:b/>
        </w:rPr>
      </w:pPr>
    </w:p>
    <w:p w:rsidR="005F6AF1" w:rsidRDefault="005F6AF1" w:rsidP="001F791B">
      <w:pPr>
        <w:pStyle w:val="TNR"/>
        <w:jc w:val="center"/>
        <w:outlineLvl w:val="0"/>
        <w:rPr>
          <w:b/>
        </w:rPr>
      </w:pPr>
    </w:p>
    <w:p w:rsidR="005F6AF1" w:rsidRDefault="005F6AF1" w:rsidP="001F791B">
      <w:pPr>
        <w:pStyle w:val="TNR"/>
        <w:jc w:val="center"/>
        <w:outlineLvl w:val="0"/>
        <w:rPr>
          <w:b/>
        </w:rPr>
      </w:pPr>
    </w:p>
    <w:p w:rsidR="005F6AF1" w:rsidRDefault="005F6AF1" w:rsidP="001F791B">
      <w:pPr>
        <w:pStyle w:val="TNR"/>
        <w:jc w:val="center"/>
        <w:outlineLvl w:val="0"/>
        <w:rPr>
          <w:b/>
        </w:rPr>
      </w:pPr>
    </w:p>
    <w:p w:rsidR="005F6AF1" w:rsidRDefault="005F6AF1" w:rsidP="001F791B">
      <w:pPr>
        <w:pStyle w:val="TNR"/>
        <w:jc w:val="center"/>
        <w:outlineLvl w:val="0"/>
        <w:rPr>
          <w:b/>
        </w:rPr>
      </w:pPr>
    </w:p>
    <w:p w:rsidR="0087474E" w:rsidRPr="001F791B" w:rsidRDefault="0087474E" w:rsidP="001F791B">
      <w:pPr>
        <w:pStyle w:val="TNR"/>
        <w:jc w:val="center"/>
        <w:outlineLvl w:val="0"/>
        <w:rPr>
          <w:b/>
        </w:rPr>
      </w:pPr>
      <w:r w:rsidRPr="00E21921">
        <w:rPr>
          <w:b/>
        </w:rPr>
        <w:t>Глава 1. Особенности инвестирования пенсионных средств граждан на рынке ценных бумаг</w:t>
      </w:r>
    </w:p>
    <w:p w:rsidR="001F791B" w:rsidRPr="001F791B" w:rsidRDefault="0087474E" w:rsidP="001F791B">
      <w:pPr>
        <w:pStyle w:val="TNR"/>
        <w:numPr>
          <w:ilvl w:val="1"/>
          <w:numId w:val="16"/>
        </w:numPr>
        <w:jc w:val="center"/>
        <w:outlineLvl w:val="1"/>
        <w:rPr>
          <w:b/>
        </w:rPr>
      </w:pPr>
      <w:bookmarkStart w:id="3" w:name="_Toc415594579"/>
      <w:r w:rsidRPr="00E21921">
        <w:rPr>
          <w:b/>
        </w:rPr>
        <w:t>Основы пенсионн</w:t>
      </w:r>
      <w:bookmarkEnd w:id="3"/>
      <w:r w:rsidRPr="00E21921">
        <w:rPr>
          <w:b/>
        </w:rPr>
        <w:t>ого инвестирования</w:t>
      </w:r>
    </w:p>
    <w:p w:rsidR="005F6AF1" w:rsidRDefault="005F6AF1" w:rsidP="005F6AF1">
      <w:pPr>
        <w:pStyle w:val="TNR"/>
        <w:ind w:left="-567"/>
      </w:pPr>
      <w:bookmarkStart w:id="4" w:name="_Toc415594580"/>
      <w:r>
        <w:t>Сегодня правительство РФ часто уделяет внимание проведению пенсионных реформ. Пенсионный Фонд России был основан в 1990 году, и начиная с этого периода был подвергнут 14 реформам, две из которых привели к капитальному изменению пенсионного обеспечения.</w:t>
      </w:r>
    </w:p>
    <w:p w:rsidR="005F6AF1" w:rsidRDefault="005F6AF1" w:rsidP="005F6AF1">
      <w:pPr>
        <w:pStyle w:val="TNR"/>
        <w:ind w:left="-567"/>
      </w:pPr>
      <w:r>
        <w:t>В 2002 году была проведена крупная реформа, по направлению «О создании накопительной части пенсии». Временами данную реформу приписывают к 2004 году.  Ее введение позволило НПФ получить право на заключение договоров по обязательному пенсионному страхованию</w:t>
      </w:r>
      <w:r w:rsidRPr="00677C91">
        <w:t>[1]</w:t>
      </w:r>
      <w:r>
        <w:t>. Основная цель этой реформу заключается в преодолении уравнительности всех типов пенсий, повышении реального размера пенсионных выплат, переходе на страховые принципы.</w:t>
      </w:r>
    </w:p>
    <w:p w:rsidR="005F6AF1" w:rsidRDefault="005F6AF1" w:rsidP="005F6AF1">
      <w:pPr>
        <w:pStyle w:val="TNR"/>
        <w:ind w:left="-567"/>
      </w:pPr>
      <w:r>
        <w:t>Предусмотр  накопительного пенсионного инвестирования предоставило возможность гражданам самостоятельно повлиять на сумму своей будущей пенсии.</w:t>
      </w:r>
    </w:p>
    <w:p w:rsidR="005F6AF1" w:rsidRDefault="005F6AF1" w:rsidP="005F6AF1">
      <w:pPr>
        <w:pStyle w:val="TNR"/>
        <w:ind w:left="-567"/>
      </w:pPr>
      <w:r>
        <w:t xml:space="preserve">Пенсионная модель нового типа стала определять размер пенсии не только по критериям рабочего стажа, но и по реальному заработку и размерам пенсионных отчислений работодателя. </w:t>
      </w:r>
    </w:p>
    <w:p w:rsidR="009261D6" w:rsidRDefault="005F6AF1" w:rsidP="005F6AF1">
      <w:pPr>
        <w:pStyle w:val="TNR"/>
        <w:ind w:left="-567"/>
      </w:pPr>
      <w:r>
        <w:t>Таким образом, реформа подвергла изменениям структуру пенсий и ввела новую модель подсчета пенсионных прав</w:t>
      </w:r>
    </w:p>
    <w:p w:rsidR="005F6AF1" w:rsidRDefault="009261D6" w:rsidP="005F6AF1">
      <w:pPr>
        <w:pStyle w:val="TNR"/>
        <w:ind w:left="-567"/>
      </w:pPr>
      <w:r>
        <w:t>1 января 2015 года пенсия начала формироваться двумя путями, в виду вступления в силу ФЗ № 400 «О страховых пенсиях» от 28.12.2015 г. и ФЗ №424 «О накопительной пенсии» от 28.12.2015 г.</w:t>
      </w:r>
    </w:p>
    <w:p w:rsidR="009261D6" w:rsidRDefault="009261D6" w:rsidP="009261D6">
      <w:pPr>
        <w:pStyle w:val="TNR"/>
        <w:numPr>
          <w:ilvl w:val="0"/>
          <w:numId w:val="22"/>
        </w:numPr>
      </w:pPr>
      <w:r>
        <w:t>Формирование страховой пенсии;</w:t>
      </w:r>
    </w:p>
    <w:p w:rsidR="009261D6" w:rsidRPr="00677C91" w:rsidRDefault="009261D6" w:rsidP="009261D6">
      <w:pPr>
        <w:pStyle w:val="TNR"/>
        <w:numPr>
          <w:ilvl w:val="0"/>
          <w:numId w:val="22"/>
        </w:numPr>
      </w:pPr>
      <w:r>
        <w:t>Формирование страховой и накопительной пенсии.</w:t>
      </w:r>
    </w:p>
    <w:p w:rsidR="004961F4" w:rsidRDefault="009261D6" w:rsidP="001F791B">
      <w:pPr>
        <w:pStyle w:val="TNR"/>
        <w:ind w:left="-567" w:firstLine="567"/>
      </w:pPr>
      <w:r>
        <w:t>Однако обозначить выбранный путь</w:t>
      </w:r>
      <w:r w:rsidR="0087474E">
        <w:t xml:space="preserve"> между двумя этими пенсиями </w:t>
      </w:r>
      <w:r>
        <w:t>необходимо</w:t>
      </w:r>
      <w:r w:rsidR="0087474E">
        <w:t xml:space="preserve"> </w:t>
      </w:r>
      <w:r>
        <w:t>совершить</w:t>
      </w:r>
      <w:r w:rsidR="0087474E">
        <w:t xml:space="preserve"> до конца 2016 г. [2; 3]. </w:t>
      </w:r>
      <w:r>
        <w:t>Граждане</w:t>
      </w:r>
      <w:r w:rsidR="0087474E">
        <w:t xml:space="preserve">, которые </w:t>
      </w:r>
      <w:r w:rsidR="00443F27">
        <w:t>выбрали</w:t>
      </w:r>
      <w:r w:rsidR="0087474E">
        <w:t xml:space="preserve"> накопительную пенсию, </w:t>
      </w:r>
      <w:r w:rsidR="00443F27">
        <w:t>останавливаются</w:t>
      </w:r>
      <w:r w:rsidR="0087474E">
        <w:t xml:space="preserve"> </w:t>
      </w:r>
      <w:r w:rsidR="00443F27">
        <w:t>на</w:t>
      </w:r>
      <w:r w:rsidR="0087474E">
        <w:t xml:space="preserve"> инвестировании накопительной части пенсии. </w:t>
      </w:r>
    </w:p>
    <w:p w:rsidR="004961F4" w:rsidRDefault="004961F4" w:rsidP="001F791B">
      <w:pPr>
        <w:pStyle w:val="TNR"/>
        <w:ind w:left="-567" w:firstLine="567"/>
      </w:pPr>
      <w:r>
        <w:t>Данный выбор является ограниченным</w:t>
      </w:r>
      <w:r w:rsidR="008C220A">
        <w:t xml:space="preserve"> со стороны получателей пенсии, так и выбранного НПФ.</w:t>
      </w:r>
    </w:p>
    <w:p w:rsidR="004961F4" w:rsidRDefault="008C220A" w:rsidP="001F791B">
      <w:pPr>
        <w:pStyle w:val="TNR"/>
        <w:ind w:left="-567" w:firstLine="567"/>
      </w:pPr>
      <w:r>
        <w:t>Выбор гражданами может осуществляться между управляющей компанией ПФР «Внешэкономбанком» и НПФ.</w:t>
      </w:r>
    </w:p>
    <w:p w:rsidR="008C220A" w:rsidRDefault="008C220A" w:rsidP="001F791B">
      <w:pPr>
        <w:pStyle w:val="TNR"/>
        <w:ind w:left="-567" w:firstLine="567"/>
      </w:pPr>
      <w:r>
        <w:t>Инвестиционный портфель управляющих компаний со стороны накопительной части ограничивается на законодательном уровне (Закон «Об инвестировании средств для финансирования накопительной части пенсии в Российской Федерации»).</w:t>
      </w:r>
    </w:p>
    <w:p w:rsidR="008C220A" w:rsidRDefault="008C220A" w:rsidP="001F791B">
      <w:pPr>
        <w:pStyle w:val="TNR"/>
        <w:ind w:left="-567" w:firstLine="567"/>
      </w:pPr>
      <w:r>
        <w:t>Данный закон был принят, с целью обеспечить надежность инвестиций и исключить рискованные инвестиционные вложения. Здесь предусматривается следующий инвестиционный ряд ( с</w:t>
      </w:r>
      <w:r w:rsidR="002E7DED">
        <w:t xml:space="preserve"> </w:t>
      </w:r>
      <w:r w:rsidR="00334982">
        <w:t>ограничениями</w:t>
      </w:r>
      <w:r>
        <w:t>):</w:t>
      </w:r>
    </w:p>
    <w:p w:rsidR="0087474E" w:rsidRDefault="0087474E" w:rsidP="00EF7198">
      <w:pPr>
        <w:pStyle w:val="TNR"/>
        <w:numPr>
          <w:ilvl w:val="0"/>
          <w:numId w:val="12"/>
        </w:numPr>
        <w:tabs>
          <w:tab w:val="left" w:pos="284"/>
        </w:tabs>
        <w:ind w:left="-567" w:firstLine="425"/>
      </w:pPr>
      <w:r>
        <w:t xml:space="preserve">Государственные ценные бумаги </w:t>
      </w:r>
      <w:r w:rsidR="002E4C4A">
        <w:t>РФ</w:t>
      </w:r>
      <w:r>
        <w:t xml:space="preserve"> (не более 40%). </w:t>
      </w:r>
    </w:p>
    <w:p w:rsidR="0087474E" w:rsidRDefault="0087474E" w:rsidP="00EF7198">
      <w:pPr>
        <w:pStyle w:val="TNR"/>
        <w:numPr>
          <w:ilvl w:val="0"/>
          <w:numId w:val="12"/>
        </w:numPr>
        <w:tabs>
          <w:tab w:val="left" w:pos="284"/>
        </w:tabs>
        <w:ind w:left="-567" w:firstLine="425"/>
      </w:pPr>
      <w:r>
        <w:t xml:space="preserve">Государственные ценные бумаги субъектов </w:t>
      </w:r>
      <w:r w:rsidR="002E4C4A">
        <w:t>РФ</w:t>
      </w:r>
      <w:r>
        <w:t xml:space="preserve"> (не более 70%). </w:t>
      </w:r>
    </w:p>
    <w:p w:rsidR="0087474E" w:rsidRDefault="0087474E" w:rsidP="00EF7198">
      <w:pPr>
        <w:pStyle w:val="TNR"/>
        <w:numPr>
          <w:ilvl w:val="0"/>
          <w:numId w:val="12"/>
        </w:numPr>
        <w:tabs>
          <w:tab w:val="left" w:pos="284"/>
        </w:tabs>
        <w:ind w:left="-567" w:firstLine="425"/>
      </w:pPr>
      <w:r>
        <w:t xml:space="preserve">Облигации российских эмитентов (не более 55%). </w:t>
      </w:r>
    </w:p>
    <w:p w:rsidR="0087474E" w:rsidRDefault="0087474E" w:rsidP="00EF7198">
      <w:pPr>
        <w:pStyle w:val="TNR"/>
        <w:numPr>
          <w:ilvl w:val="0"/>
          <w:numId w:val="12"/>
        </w:numPr>
        <w:tabs>
          <w:tab w:val="left" w:pos="284"/>
        </w:tabs>
        <w:ind w:left="-567" w:firstLine="425"/>
      </w:pPr>
      <w:r>
        <w:t xml:space="preserve">Акции российских эмитентов, созданных в форме </w:t>
      </w:r>
      <w:r w:rsidR="002E4C4A">
        <w:t>ПАО</w:t>
      </w:r>
      <w:r>
        <w:t>.</w:t>
      </w:r>
    </w:p>
    <w:p w:rsidR="0087474E" w:rsidRDefault="0087474E" w:rsidP="00EF7198">
      <w:pPr>
        <w:pStyle w:val="TNR"/>
        <w:numPr>
          <w:ilvl w:val="0"/>
          <w:numId w:val="12"/>
        </w:numPr>
        <w:tabs>
          <w:tab w:val="left" w:pos="284"/>
        </w:tabs>
        <w:ind w:left="-567" w:firstLine="425"/>
      </w:pPr>
      <w:r>
        <w:t xml:space="preserve">Паи (акции, доли) индексных инвестиционных фондов, размещающих средства в государственные ценные бумаги иностранных государств, облигации и акции иных иностранных эмитентов. </w:t>
      </w:r>
    </w:p>
    <w:p w:rsidR="0087474E" w:rsidRDefault="0087474E" w:rsidP="00EF7198">
      <w:pPr>
        <w:pStyle w:val="TNR"/>
        <w:numPr>
          <w:ilvl w:val="0"/>
          <w:numId w:val="12"/>
        </w:numPr>
        <w:tabs>
          <w:tab w:val="left" w:pos="284"/>
        </w:tabs>
        <w:ind w:left="-567" w:firstLine="425"/>
      </w:pPr>
      <w:r>
        <w:t xml:space="preserve">Ипотечные ценные бумаги, выпущенные в соответствии с законодательством Российской Федерации об ипотечных ценных бумагах. </w:t>
      </w:r>
    </w:p>
    <w:p w:rsidR="0087474E" w:rsidRDefault="0087474E" w:rsidP="00EF7198">
      <w:pPr>
        <w:pStyle w:val="TNR"/>
        <w:numPr>
          <w:ilvl w:val="0"/>
          <w:numId w:val="12"/>
        </w:numPr>
        <w:tabs>
          <w:tab w:val="left" w:pos="284"/>
        </w:tabs>
        <w:ind w:left="-567" w:firstLine="425"/>
      </w:pPr>
      <w:r>
        <w:t xml:space="preserve">Денежные средства в рублях на счетах в кредитных организациях. </w:t>
      </w:r>
    </w:p>
    <w:p w:rsidR="0087474E" w:rsidRDefault="0087474E" w:rsidP="00EF7198">
      <w:pPr>
        <w:pStyle w:val="TNR"/>
        <w:numPr>
          <w:ilvl w:val="0"/>
          <w:numId w:val="12"/>
        </w:numPr>
        <w:tabs>
          <w:tab w:val="left" w:pos="284"/>
        </w:tabs>
        <w:ind w:left="-567" w:firstLine="425"/>
      </w:pPr>
      <w:r>
        <w:t xml:space="preserve">Депозиты в валюте </w:t>
      </w:r>
      <w:r w:rsidR="002E4C4A">
        <w:t>РФ</w:t>
      </w:r>
      <w:r>
        <w:t xml:space="preserve"> и в иностранной валюте в кредитных организациях. </w:t>
      </w:r>
    </w:p>
    <w:p w:rsidR="0087474E" w:rsidRDefault="0087474E" w:rsidP="00EF7198">
      <w:pPr>
        <w:pStyle w:val="TNR"/>
        <w:numPr>
          <w:ilvl w:val="0"/>
          <w:numId w:val="12"/>
        </w:numPr>
        <w:tabs>
          <w:tab w:val="left" w:pos="284"/>
        </w:tabs>
        <w:ind w:left="-567" w:firstLine="425"/>
      </w:pPr>
      <w:r>
        <w:t xml:space="preserve">Иностранную валюту на счетах в кредитных организациях. </w:t>
      </w:r>
    </w:p>
    <w:p w:rsidR="0087474E" w:rsidRDefault="0087474E" w:rsidP="00EF7198">
      <w:pPr>
        <w:pStyle w:val="TNR"/>
        <w:numPr>
          <w:ilvl w:val="0"/>
          <w:numId w:val="12"/>
        </w:numPr>
        <w:tabs>
          <w:tab w:val="left" w:pos="284"/>
        </w:tabs>
        <w:ind w:left="-567" w:firstLine="425"/>
      </w:pPr>
      <w:r>
        <w:t xml:space="preserve">Ценные бумаги международных финансовых организаций, допущенных к размещению и (или) публичному обращению в </w:t>
      </w:r>
      <w:r w:rsidR="002E4C4A">
        <w:t xml:space="preserve">РФ </w:t>
      </w:r>
      <w:r>
        <w:t xml:space="preserve">в соответствии с законодательством </w:t>
      </w:r>
      <w:r w:rsidR="002E4C4A">
        <w:t>РФ</w:t>
      </w:r>
      <w:r>
        <w:t xml:space="preserve"> о рынке ценных бумаг. </w:t>
      </w:r>
    </w:p>
    <w:p w:rsidR="00FC163B" w:rsidRDefault="00FC163B" w:rsidP="00FC163B">
      <w:pPr>
        <w:pStyle w:val="TNR"/>
        <w:tabs>
          <w:tab w:val="left" w:pos="284"/>
        </w:tabs>
        <w:ind w:left="-567" w:firstLine="425"/>
      </w:pPr>
      <w:r>
        <w:t>Запрещается инвестировать по следующим пунктам:</w:t>
      </w:r>
    </w:p>
    <w:p w:rsidR="00FC163B" w:rsidRDefault="00FC163B" w:rsidP="00FC163B">
      <w:pPr>
        <w:pStyle w:val="TNR"/>
        <w:numPr>
          <w:ilvl w:val="0"/>
          <w:numId w:val="23"/>
        </w:numPr>
        <w:tabs>
          <w:tab w:val="left" w:pos="284"/>
        </w:tabs>
        <w:ind w:left="-567" w:firstLine="425"/>
      </w:pPr>
      <w:r>
        <w:t>Покупка ценных бумаг, где в качестве эмитентов выступают управляющие компании, брокеры, организации по страхованию и кредитам, которые специализируются на депозитах и аудитах, на основании заключения договора об обслуживании.</w:t>
      </w:r>
    </w:p>
    <w:p w:rsidR="00FC163B" w:rsidRDefault="00FC163B" w:rsidP="00FC163B">
      <w:pPr>
        <w:pStyle w:val="TNR"/>
        <w:numPr>
          <w:ilvl w:val="0"/>
          <w:numId w:val="23"/>
        </w:numPr>
        <w:tabs>
          <w:tab w:val="left" w:pos="284"/>
        </w:tabs>
        <w:ind w:left="-567" w:firstLine="425"/>
      </w:pPr>
      <w:r>
        <w:t>Покупка ценных бумаг эмитентов, находящихся на досудебной санации или грани банкротства на сновании Законодательства РФ «О банкротстве» или в случае применения данных процессов за последние два года.</w:t>
      </w:r>
    </w:p>
    <w:p w:rsidR="00FC163B" w:rsidRDefault="00FC163B" w:rsidP="00FC163B">
      <w:pPr>
        <w:pStyle w:val="TNR"/>
        <w:ind w:left="-567" w:firstLine="425"/>
      </w:pPr>
      <w:r>
        <w:t>Имеются ограничения по статьям инвестиционного портфеля, которые разрешены:</w:t>
      </w:r>
    </w:p>
    <w:p w:rsidR="00FC163B" w:rsidRDefault="00FC163B" w:rsidP="00FC163B">
      <w:pPr>
        <w:pStyle w:val="TNR"/>
        <w:numPr>
          <w:ilvl w:val="0"/>
          <w:numId w:val="24"/>
        </w:numPr>
        <w:ind w:left="-567" w:firstLine="425"/>
      </w:pPr>
      <w:r>
        <w:t>Не более 5% должны составлять ценные бумаги одного эмитента;</w:t>
      </w:r>
    </w:p>
    <w:p w:rsidR="00FC163B" w:rsidRDefault="00FC163B" w:rsidP="00FC163B">
      <w:pPr>
        <w:pStyle w:val="TNR"/>
        <w:numPr>
          <w:ilvl w:val="0"/>
          <w:numId w:val="24"/>
        </w:numPr>
        <w:ind w:left="-567" w:firstLine="425"/>
      </w:pPr>
      <w:r>
        <w:t>Не более 10% портфеля занимают ценные бумаги кредитных учреждений;</w:t>
      </w:r>
    </w:p>
    <w:p w:rsidR="00FC163B" w:rsidRDefault="00FC163B" w:rsidP="00FC163B">
      <w:pPr>
        <w:pStyle w:val="TNR"/>
        <w:numPr>
          <w:ilvl w:val="0"/>
          <w:numId w:val="24"/>
        </w:numPr>
        <w:ind w:left="-567" w:firstLine="425"/>
      </w:pPr>
      <w:r>
        <w:t>От общей капитализации максимальная доля акций одно эмитента не может превысить 10%;</w:t>
      </w:r>
    </w:p>
    <w:p w:rsidR="00FC163B" w:rsidRDefault="00FC163B" w:rsidP="00FC163B">
      <w:pPr>
        <w:pStyle w:val="TNR"/>
        <w:numPr>
          <w:ilvl w:val="0"/>
          <w:numId w:val="24"/>
        </w:numPr>
        <w:ind w:left="-567" w:firstLine="425"/>
      </w:pPr>
      <w:r>
        <w:t>От общей суммы впущенных облигаций максимальная доля облигаций не может превышать 10%;</w:t>
      </w:r>
    </w:p>
    <w:p w:rsidR="00FC163B" w:rsidRDefault="00FC163B" w:rsidP="00FC163B">
      <w:pPr>
        <w:pStyle w:val="TNR"/>
        <w:numPr>
          <w:ilvl w:val="0"/>
          <w:numId w:val="24"/>
        </w:numPr>
        <w:ind w:left="-567" w:firstLine="425"/>
      </w:pPr>
      <w:r>
        <w:t>Иностранные ценные бумаги могут занимать лишь 20% от общего портфеля;</w:t>
      </w:r>
    </w:p>
    <w:p w:rsidR="00FC163B" w:rsidRDefault="00FC163B" w:rsidP="00FC163B">
      <w:pPr>
        <w:pStyle w:val="TNR"/>
        <w:numPr>
          <w:ilvl w:val="0"/>
          <w:numId w:val="24"/>
        </w:numPr>
        <w:ind w:left="-567" w:firstLine="425"/>
      </w:pPr>
      <w:r>
        <w:t>Срочные вклады в кредитных учреждениях могут занимать лишь 20% от общего портфеля</w:t>
      </w:r>
      <w:r w:rsidRPr="00C601FE">
        <w:t>[4]</w:t>
      </w:r>
      <w:r>
        <w:t>.</w:t>
      </w:r>
    </w:p>
    <w:p w:rsidR="003960C9" w:rsidRDefault="003960C9" w:rsidP="00334982">
      <w:pPr>
        <w:pStyle w:val="TNR"/>
        <w:ind w:left="-567" w:firstLine="567"/>
      </w:pPr>
      <w:r>
        <w:t>Данные от публичного годового отчета ПФ РФ по доходам от инвестиций накопительной части пенсии за 2009-2015гг. составили [4]:</w:t>
      </w:r>
    </w:p>
    <w:p w:rsidR="003960C9" w:rsidRDefault="003960C9" w:rsidP="003960C9">
      <w:pPr>
        <w:pStyle w:val="TNR"/>
        <w:ind w:left="-567" w:firstLine="567"/>
      </w:pPr>
      <w:r>
        <w:t>Визуальный осмотр графика показывает, что доходность от инвестиций накопительной части пенсии в пятилетний период совершенно разная. Наиболее стабильным показателем доходности обладает ГУК (Внешэкономбанк). Данные по НПФ и ЧУК не стабильны. В 2012 году в данных ГУК замечается резкое понижение доходности. Это объясняется тем, что экономическая ситуация страны на 2012 год, переживала времена посткризисного периода.</w:t>
      </w:r>
    </w:p>
    <w:p w:rsidR="0087474E" w:rsidRDefault="0087474E" w:rsidP="00CF44A9">
      <w:pPr>
        <w:pStyle w:val="TNR"/>
        <w:ind w:left="-567" w:firstLine="567"/>
      </w:pPr>
      <w:r>
        <w:t xml:space="preserve"> В 2015 году доходность в ГУК и НПФ практически сравнились, что может предположить о развитии стабильности в инвестирование НПФ. Это положительно влияет на финансовую ситуацию управляющих компаний. Таким образом, на основе вышеизложенной информации, гражданам можно порекомендовать оставить свои пенсионные накопления в ГУК «Внешэкономбанк». Но, тем не менее, статистика меняется каждый год. Следует отметить, что есть вероятность того, что НПФ и ЧУК будут инвестировать на уровне ГУК – на основе статистических данных доходности пенсионных накоплений за 2015 год. Если данная гипотеза подтвердится в течение двух или трех лет, то можно смело делать выбор в сторону НПФ и ЧУК. </w:t>
      </w:r>
    </w:p>
    <w:p w:rsidR="00CF44A9" w:rsidRDefault="00CF44A9" w:rsidP="00CF44A9">
      <w:pPr>
        <w:pStyle w:val="TNR"/>
        <w:ind w:left="-567" w:firstLine="567"/>
      </w:pPr>
    </w:p>
    <w:p w:rsidR="00A709C0" w:rsidRPr="00571A7B" w:rsidRDefault="00A709C0" w:rsidP="00A709C0">
      <w:pPr>
        <w:pStyle w:val="TNR"/>
        <w:jc w:val="center"/>
        <w:outlineLvl w:val="1"/>
        <w:rPr>
          <w:b/>
        </w:rPr>
      </w:pPr>
      <w:bookmarkStart w:id="5" w:name="_Toc449580305"/>
      <w:bookmarkEnd w:id="4"/>
      <w:r w:rsidRPr="00571A7B">
        <w:rPr>
          <w:b/>
        </w:rPr>
        <w:t>1.2 Анализ статистики НПФ</w:t>
      </w:r>
    </w:p>
    <w:p w:rsidR="00A709C0" w:rsidRDefault="00A709C0" w:rsidP="00556747">
      <w:pPr>
        <w:pStyle w:val="TNR"/>
        <w:ind w:left="-567" w:firstLine="425"/>
        <w:outlineLvl w:val="1"/>
      </w:pPr>
      <w:r>
        <w:t>В настоящее время в нашей стране существует около 250 негосударственных пенсионных фондов, которые беспрестанно занимаются активной деятельностью по работе с населением и частными лицами.</w:t>
      </w:r>
    </w:p>
    <w:p w:rsidR="00A709C0" w:rsidRDefault="00A709C0" w:rsidP="00556747">
      <w:pPr>
        <w:pStyle w:val="TNR"/>
        <w:ind w:left="-567" w:firstLine="425"/>
        <w:outlineLvl w:val="1"/>
      </w:pPr>
      <w:r>
        <w:t xml:space="preserve">Деятельность каждого фонда определяется в первую очередь показателями их надежности и </w:t>
      </w:r>
      <w:r w:rsidR="00E42EF2">
        <w:t>доходности</w:t>
      </w:r>
      <w:r w:rsidR="00E42EF2" w:rsidRPr="004F2689">
        <w:t xml:space="preserve"> [</w:t>
      </w:r>
      <w:r w:rsidR="004F2689" w:rsidRPr="004F2689">
        <w:t>5]</w:t>
      </w:r>
      <w:r>
        <w:t>.</w:t>
      </w:r>
    </w:p>
    <w:p w:rsidR="00A709C0" w:rsidRDefault="00A709C0" w:rsidP="00556747">
      <w:pPr>
        <w:pStyle w:val="TNR"/>
        <w:ind w:left="-567" w:firstLine="425"/>
        <w:outlineLvl w:val="1"/>
      </w:pPr>
      <w:r>
        <w:t>Рейтинг наиболее высокодоходных НПФ на 2016 год представлен в таблице 1.</w:t>
      </w:r>
    </w:p>
    <w:p w:rsidR="00A709C0" w:rsidRDefault="00A709C0" w:rsidP="00A709C0">
      <w:pPr>
        <w:pStyle w:val="TNR"/>
        <w:outlineLvl w:val="1"/>
      </w:pPr>
      <w:r>
        <w:t>Таблица 1 – Рейтинг НПФ, 2016 год</w:t>
      </w:r>
    </w:p>
    <w:tbl>
      <w:tblPr>
        <w:tblStyle w:val="a7"/>
        <w:tblW w:w="5250" w:type="pct"/>
        <w:jc w:val="center"/>
        <w:tblLook w:val="04A0" w:firstRow="1" w:lastRow="0" w:firstColumn="1" w:lastColumn="0" w:noHBand="0" w:noVBand="1"/>
      </w:tblPr>
      <w:tblGrid>
        <w:gridCol w:w="661"/>
        <w:gridCol w:w="2187"/>
        <w:gridCol w:w="5636"/>
        <w:gridCol w:w="1566"/>
      </w:tblGrid>
      <w:tr w:rsidR="00A709C0" w:rsidRPr="001312F4" w:rsidTr="00A709C0">
        <w:trPr>
          <w:trHeight w:val="486"/>
          <w:jc w:val="center"/>
        </w:trPr>
        <w:tc>
          <w:tcPr>
            <w:tcW w:w="329" w:type="pct"/>
            <w:vAlign w:val="center"/>
          </w:tcPr>
          <w:p w:rsidR="00A709C0" w:rsidRPr="001312F4" w:rsidRDefault="00A709C0" w:rsidP="00A70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F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88" w:type="pct"/>
            <w:vAlign w:val="center"/>
          </w:tcPr>
          <w:p w:rsidR="00A709C0" w:rsidRPr="001312F4" w:rsidRDefault="00A709C0" w:rsidP="00A70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F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04" w:type="pct"/>
            <w:tcBorders>
              <w:right w:val="single" w:sz="4" w:space="0" w:color="auto"/>
            </w:tcBorders>
            <w:vAlign w:val="center"/>
          </w:tcPr>
          <w:p w:rsidR="00A709C0" w:rsidRPr="001312F4" w:rsidRDefault="00A709C0" w:rsidP="00A70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F4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:rsidR="00A709C0" w:rsidRPr="001312F4" w:rsidRDefault="00A709C0" w:rsidP="00A70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F4">
              <w:rPr>
                <w:rFonts w:ascii="Times New Roman" w:hAnsi="Times New Roman"/>
                <w:sz w:val="24"/>
                <w:szCs w:val="24"/>
              </w:rPr>
              <w:t>Доходность, %</w:t>
            </w:r>
          </w:p>
        </w:tc>
      </w:tr>
      <w:tr w:rsidR="00A709C0" w:rsidRPr="001312F4" w:rsidTr="00A709C0">
        <w:trPr>
          <w:trHeight w:val="1242"/>
          <w:jc w:val="center"/>
        </w:trPr>
        <w:tc>
          <w:tcPr>
            <w:tcW w:w="329" w:type="pct"/>
            <w:vAlign w:val="center"/>
          </w:tcPr>
          <w:p w:rsidR="00A709C0" w:rsidRPr="001312F4" w:rsidRDefault="00A709C0" w:rsidP="00A70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8" w:type="pct"/>
            <w:vAlign w:val="center"/>
          </w:tcPr>
          <w:p w:rsidR="00A709C0" w:rsidRPr="00A709C0" w:rsidRDefault="00A709C0" w:rsidP="00A709C0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A709C0">
              <w:rPr>
                <w:rFonts w:ascii="Times New Roman" w:hAnsi="Times New Roman" w:cs="Times New Roman"/>
                <w:color w:val="auto"/>
              </w:rPr>
              <w:t>Европейский пенсионный фонд (АО)</w:t>
            </w:r>
          </w:p>
          <w:p w:rsidR="00A709C0" w:rsidRPr="00A709C0" w:rsidRDefault="00A709C0" w:rsidP="00A70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pct"/>
            <w:tcBorders>
              <w:right w:val="single" w:sz="4" w:space="0" w:color="auto"/>
            </w:tcBorders>
          </w:tcPr>
          <w:p w:rsidR="00A709C0" w:rsidRPr="001312F4" w:rsidRDefault="00A709C0" w:rsidP="002E7DED">
            <w:pPr>
              <w:ind w:firstLine="2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DCE">
              <w:rPr>
                <w:rFonts w:ascii="Times New Roman" w:eastAsia="Times New Roman" w:hAnsi="Times New Roman"/>
                <w:sz w:val="24"/>
                <w:szCs w:val="24"/>
              </w:rPr>
              <w:t>В последнем квартале 2015 года объем пенсионных накоплений фонда составлял 57.7 млрд.руб. По итогам работы за 2009—2014 годы пенсионные накопления клиентов фонда удвоились</w:t>
            </w:r>
            <w:r w:rsidR="004F2689" w:rsidRPr="004F2689">
              <w:rPr>
                <w:rFonts w:ascii="Times New Roman" w:eastAsia="Times New Roman" w:hAnsi="Times New Roman"/>
                <w:sz w:val="24"/>
                <w:szCs w:val="24"/>
              </w:rPr>
              <w:t>[6]</w:t>
            </w:r>
            <w:r w:rsidRPr="00AC4DCE">
              <w:rPr>
                <w:rFonts w:ascii="Times New Roman" w:eastAsia="Times New Roman" w:hAnsi="Times New Roman"/>
                <w:sz w:val="24"/>
                <w:szCs w:val="24"/>
              </w:rPr>
              <w:t xml:space="preserve">.  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:rsidR="00A709C0" w:rsidRPr="001312F4" w:rsidRDefault="00A709C0" w:rsidP="00A70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F4">
              <w:rPr>
                <w:rFonts w:ascii="Times New Roman" w:hAnsi="Times New Roman"/>
                <w:sz w:val="24"/>
                <w:szCs w:val="24"/>
              </w:rPr>
              <w:t>12,43</w:t>
            </w:r>
          </w:p>
        </w:tc>
      </w:tr>
      <w:tr w:rsidR="00A709C0" w:rsidRPr="001312F4" w:rsidTr="00A709C0">
        <w:trPr>
          <w:trHeight w:val="769"/>
          <w:jc w:val="center"/>
        </w:trPr>
        <w:tc>
          <w:tcPr>
            <w:tcW w:w="329" w:type="pct"/>
            <w:vAlign w:val="center"/>
          </w:tcPr>
          <w:p w:rsidR="00A709C0" w:rsidRPr="001312F4" w:rsidRDefault="00A709C0" w:rsidP="00A70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pct"/>
            <w:vAlign w:val="center"/>
          </w:tcPr>
          <w:p w:rsidR="00A709C0" w:rsidRPr="00A709C0" w:rsidRDefault="00A709C0" w:rsidP="00A709C0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A709C0">
              <w:rPr>
                <w:rFonts w:ascii="Times New Roman" w:hAnsi="Times New Roman" w:cs="Times New Roman"/>
                <w:color w:val="auto"/>
              </w:rPr>
              <w:t>НПФ «Оборонно-промышленный фонд»</w:t>
            </w:r>
          </w:p>
        </w:tc>
        <w:tc>
          <w:tcPr>
            <w:tcW w:w="2804" w:type="pct"/>
            <w:tcBorders>
              <w:right w:val="single" w:sz="4" w:space="0" w:color="auto"/>
            </w:tcBorders>
          </w:tcPr>
          <w:p w:rsidR="00A709C0" w:rsidRPr="001312F4" w:rsidRDefault="00A709C0" w:rsidP="002E7DED">
            <w:pPr>
              <w:ind w:firstLine="2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DCE">
              <w:rPr>
                <w:rFonts w:ascii="Times New Roman" w:eastAsia="Times New Roman" w:hAnsi="Times New Roman"/>
                <w:sz w:val="24"/>
                <w:szCs w:val="24"/>
              </w:rPr>
              <w:t>Проводит консервативную инвестиционную политику. Средства клиентов вкладывает больше частью в облигации, ценные бумаги и акции. Имеет высокий рейтинг надежности (А) и большую ежегодную доходность</w:t>
            </w:r>
            <w:r w:rsidR="004F268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[6]</w:t>
            </w:r>
            <w:r w:rsidRPr="00AC4DCE">
              <w:rPr>
                <w:rFonts w:ascii="Times New Roman" w:eastAsia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:rsidR="00A709C0" w:rsidRPr="001312F4" w:rsidRDefault="00A709C0" w:rsidP="00A70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F4">
              <w:rPr>
                <w:rFonts w:ascii="Times New Roman" w:hAnsi="Times New Roman"/>
                <w:sz w:val="24"/>
                <w:szCs w:val="24"/>
              </w:rPr>
              <w:t>11,94</w:t>
            </w:r>
          </w:p>
        </w:tc>
      </w:tr>
      <w:tr w:rsidR="00A709C0" w:rsidRPr="001312F4" w:rsidTr="00A709C0">
        <w:trPr>
          <w:trHeight w:val="1242"/>
          <w:jc w:val="center"/>
        </w:trPr>
        <w:tc>
          <w:tcPr>
            <w:tcW w:w="329" w:type="pct"/>
            <w:vAlign w:val="center"/>
          </w:tcPr>
          <w:p w:rsidR="00A709C0" w:rsidRPr="001312F4" w:rsidRDefault="00A709C0" w:rsidP="00A70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8" w:type="pct"/>
            <w:vAlign w:val="center"/>
          </w:tcPr>
          <w:p w:rsidR="00A709C0" w:rsidRPr="00A709C0" w:rsidRDefault="00A709C0" w:rsidP="00A709C0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A709C0">
              <w:rPr>
                <w:rFonts w:ascii="Times New Roman" w:hAnsi="Times New Roman" w:cs="Times New Roman"/>
                <w:color w:val="auto"/>
              </w:rPr>
              <w:t>НПФ «Уральский Финансовый Дом»</w:t>
            </w:r>
          </w:p>
          <w:p w:rsidR="00A709C0" w:rsidRPr="00A709C0" w:rsidRDefault="00A709C0" w:rsidP="00A70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pct"/>
            <w:tcBorders>
              <w:right w:val="single" w:sz="4" w:space="0" w:color="auto"/>
            </w:tcBorders>
          </w:tcPr>
          <w:p w:rsidR="00A709C0" w:rsidRPr="001312F4" w:rsidRDefault="00A709C0" w:rsidP="004F2689">
            <w:pPr>
              <w:ind w:firstLine="2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4DCE">
              <w:rPr>
                <w:rFonts w:ascii="Times New Roman" w:eastAsia="Times New Roman" w:hAnsi="Times New Roman"/>
                <w:sz w:val="24"/>
                <w:szCs w:val="24"/>
              </w:rPr>
              <w:t>Вначале был известен как НПФ «Парма», затем в 2007 году переименован в «Уральский Финансовый Дом». Осторожная инвестиционна</w:t>
            </w:r>
            <w:r w:rsidR="004F2689">
              <w:rPr>
                <w:rFonts w:ascii="Times New Roman" w:eastAsia="Times New Roman" w:hAnsi="Times New Roman"/>
                <w:sz w:val="24"/>
                <w:szCs w:val="24"/>
              </w:rPr>
              <w:t>я политика и высокая доходность</w:t>
            </w:r>
            <w:r w:rsidR="004F2689" w:rsidRPr="004F26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C4DCE">
              <w:rPr>
                <w:rFonts w:ascii="Times New Roman" w:eastAsia="Times New Roman" w:hAnsi="Times New Roman"/>
                <w:sz w:val="24"/>
                <w:szCs w:val="24"/>
              </w:rPr>
              <w:t>делают этот фонд одним из лучших в России.</w:t>
            </w:r>
            <w:r w:rsidR="004F2689" w:rsidRPr="004F2689">
              <w:rPr>
                <w:rFonts w:ascii="Times New Roman" w:eastAsia="Times New Roman" w:hAnsi="Times New Roman"/>
                <w:sz w:val="24"/>
                <w:szCs w:val="24"/>
              </w:rPr>
              <w:t>[6]</w:t>
            </w:r>
            <w:r w:rsidRPr="00AC4DCE">
              <w:rPr>
                <w:rFonts w:ascii="Times New Roman" w:eastAsia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:rsidR="00A709C0" w:rsidRPr="001312F4" w:rsidRDefault="00A709C0" w:rsidP="00A70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F4">
              <w:rPr>
                <w:rFonts w:ascii="Times New Roman" w:hAnsi="Times New Roman"/>
                <w:sz w:val="24"/>
                <w:szCs w:val="24"/>
              </w:rPr>
              <w:t>11,38</w:t>
            </w:r>
          </w:p>
        </w:tc>
      </w:tr>
      <w:tr w:rsidR="00A709C0" w:rsidRPr="001312F4" w:rsidTr="00A709C0">
        <w:trPr>
          <w:trHeight w:val="1242"/>
          <w:jc w:val="center"/>
        </w:trPr>
        <w:tc>
          <w:tcPr>
            <w:tcW w:w="329" w:type="pct"/>
            <w:vAlign w:val="center"/>
          </w:tcPr>
          <w:p w:rsidR="00A709C0" w:rsidRPr="001312F4" w:rsidRDefault="00A709C0" w:rsidP="00A70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8" w:type="pct"/>
            <w:vAlign w:val="center"/>
          </w:tcPr>
          <w:p w:rsidR="00A709C0" w:rsidRPr="00A709C0" w:rsidRDefault="00A709C0" w:rsidP="00A709C0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A709C0">
              <w:rPr>
                <w:rFonts w:ascii="Times New Roman" w:hAnsi="Times New Roman" w:cs="Times New Roman"/>
                <w:color w:val="auto"/>
              </w:rPr>
              <w:t>НПФ «Образование и наука»</w:t>
            </w:r>
          </w:p>
          <w:p w:rsidR="00A709C0" w:rsidRPr="00A709C0" w:rsidRDefault="00A709C0" w:rsidP="00A70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pct"/>
            <w:tcBorders>
              <w:right w:val="single" w:sz="4" w:space="0" w:color="auto"/>
            </w:tcBorders>
          </w:tcPr>
          <w:p w:rsidR="00A709C0" w:rsidRPr="001312F4" w:rsidRDefault="00A709C0" w:rsidP="002E7DED">
            <w:pPr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DCE">
              <w:rPr>
                <w:rFonts w:ascii="Times New Roman" w:eastAsia="Times New Roman" w:hAnsi="Times New Roman"/>
                <w:sz w:val="24"/>
                <w:szCs w:val="24"/>
              </w:rPr>
              <w:t>Фонд реализует гос. программу софинансирования пенсии, предлагает услуги по созданию и управлению накопительной части пенсии и добровольному пенсионному страхованию</w:t>
            </w:r>
            <w:r w:rsidR="004F2689" w:rsidRPr="004F2689">
              <w:rPr>
                <w:rFonts w:ascii="Times New Roman" w:eastAsia="Times New Roman" w:hAnsi="Times New Roman"/>
                <w:sz w:val="24"/>
                <w:szCs w:val="24"/>
              </w:rPr>
              <w:t>[7]</w:t>
            </w:r>
            <w:r w:rsidRPr="00AC4DCE">
              <w:rPr>
                <w:rFonts w:ascii="Times New Roman" w:eastAsia="Times New Roman" w:hAnsi="Times New Roman"/>
                <w:sz w:val="24"/>
                <w:szCs w:val="24"/>
              </w:rPr>
              <w:t xml:space="preserve">.   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:rsidR="00A709C0" w:rsidRPr="001312F4" w:rsidRDefault="00A709C0" w:rsidP="00A70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F4">
              <w:rPr>
                <w:rFonts w:ascii="Times New Roman" w:hAnsi="Times New Roman"/>
                <w:sz w:val="24"/>
                <w:szCs w:val="24"/>
              </w:rPr>
              <w:t>11,08</w:t>
            </w:r>
          </w:p>
        </w:tc>
      </w:tr>
      <w:tr w:rsidR="00A709C0" w:rsidRPr="001312F4" w:rsidTr="00A709C0">
        <w:trPr>
          <w:trHeight w:val="1485"/>
          <w:jc w:val="center"/>
        </w:trPr>
        <w:tc>
          <w:tcPr>
            <w:tcW w:w="329" w:type="pct"/>
            <w:vAlign w:val="center"/>
          </w:tcPr>
          <w:p w:rsidR="00A709C0" w:rsidRPr="001312F4" w:rsidRDefault="00A709C0" w:rsidP="00A70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8" w:type="pct"/>
            <w:vAlign w:val="center"/>
          </w:tcPr>
          <w:p w:rsidR="00A709C0" w:rsidRPr="00A709C0" w:rsidRDefault="00A709C0" w:rsidP="00A709C0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A709C0">
              <w:rPr>
                <w:rFonts w:ascii="Times New Roman" w:hAnsi="Times New Roman" w:cs="Times New Roman"/>
                <w:color w:val="auto"/>
              </w:rPr>
              <w:t>ОАО НПФ «Образование»</w:t>
            </w:r>
          </w:p>
          <w:p w:rsidR="00A709C0" w:rsidRPr="00A709C0" w:rsidRDefault="00A709C0" w:rsidP="00A70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pct"/>
            <w:tcBorders>
              <w:right w:val="single" w:sz="4" w:space="0" w:color="auto"/>
            </w:tcBorders>
          </w:tcPr>
          <w:p w:rsidR="00A709C0" w:rsidRPr="001312F4" w:rsidRDefault="00A709C0" w:rsidP="002E7DED">
            <w:pPr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DCE">
              <w:rPr>
                <w:rFonts w:ascii="Times New Roman" w:eastAsia="Times New Roman" w:hAnsi="Times New Roman"/>
                <w:sz w:val="24"/>
                <w:szCs w:val="24"/>
              </w:rPr>
              <w:t>Открыт для физических и юридических лиц и имеет представительства в 13 российских регионах. Предлагает одну из трех схем с определенными размерами пенсионных взносов: солидарную, с выплатами в период от 2 до 30 лет или с пожизненными выплатами</w:t>
            </w:r>
            <w:r w:rsidR="004F2689" w:rsidRPr="004F2689">
              <w:rPr>
                <w:rFonts w:ascii="Times New Roman" w:eastAsia="Times New Roman" w:hAnsi="Times New Roman"/>
                <w:sz w:val="24"/>
                <w:szCs w:val="24"/>
              </w:rPr>
              <w:t>[8]</w:t>
            </w:r>
            <w:r w:rsidRPr="00AC4DCE">
              <w:rPr>
                <w:rFonts w:ascii="Times New Roman" w:eastAsia="Times New Roman" w:hAnsi="Times New Roman"/>
                <w:sz w:val="24"/>
                <w:szCs w:val="24"/>
              </w:rPr>
              <w:t xml:space="preserve">.   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:rsidR="00A709C0" w:rsidRPr="001312F4" w:rsidRDefault="00A709C0" w:rsidP="00A70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F4">
              <w:rPr>
                <w:rFonts w:ascii="Times New Roman" w:hAnsi="Times New Roman"/>
                <w:sz w:val="24"/>
                <w:szCs w:val="24"/>
              </w:rPr>
              <w:t>10,99</w:t>
            </w:r>
          </w:p>
        </w:tc>
      </w:tr>
      <w:tr w:rsidR="00A709C0" w:rsidRPr="001312F4" w:rsidTr="00A709C0">
        <w:trPr>
          <w:trHeight w:val="985"/>
          <w:jc w:val="center"/>
        </w:trPr>
        <w:tc>
          <w:tcPr>
            <w:tcW w:w="329" w:type="pct"/>
            <w:vAlign w:val="center"/>
          </w:tcPr>
          <w:p w:rsidR="00A709C0" w:rsidRPr="001312F4" w:rsidRDefault="00A709C0" w:rsidP="00A70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8" w:type="pct"/>
            <w:vAlign w:val="center"/>
          </w:tcPr>
          <w:p w:rsidR="00A709C0" w:rsidRPr="00A709C0" w:rsidRDefault="00A709C0" w:rsidP="00A709C0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A709C0">
              <w:rPr>
                <w:rFonts w:ascii="Times New Roman" w:hAnsi="Times New Roman" w:cs="Times New Roman"/>
                <w:color w:val="auto"/>
              </w:rPr>
              <w:t>АО НПФ «Сургутнефтегаз»</w:t>
            </w:r>
          </w:p>
          <w:p w:rsidR="00A709C0" w:rsidRPr="00A709C0" w:rsidRDefault="00A709C0" w:rsidP="00A70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pct"/>
            <w:tcBorders>
              <w:right w:val="single" w:sz="4" w:space="0" w:color="auto"/>
            </w:tcBorders>
          </w:tcPr>
          <w:p w:rsidR="00A709C0" w:rsidRPr="004F2689" w:rsidRDefault="00A709C0" w:rsidP="002E7DED">
            <w:pPr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2F4">
              <w:rPr>
                <w:rFonts w:ascii="Times New Roman" w:hAnsi="Times New Roman"/>
                <w:sz w:val="24"/>
                <w:szCs w:val="24"/>
              </w:rPr>
              <w:t>Один из самых «богатых» в России фондов по одному из главных показателей для любого НПФ — объему пенсионных резервов (15 349 тыс. руб.).</w:t>
            </w:r>
            <w:r w:rsidR="004F2689" w:rsidRPr="004F2689">
              <w:rPr>
                <w:rFonts w:ascii="Times New Roman" w:hAnsi="Times New Roman"/>
                <w:sz w:val="24"/>
                <w:szCs w:val="24"/>
              </w:rPr>
              <w:t>[7]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:rsidR="00A709C0" w:rsidRPr="001312F4" w:rsidRDefault="00A709C0" w:rsidP="00A70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F4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A709C0" w:rsidRPr="001312F4" w:rsidTr="00A709C0">
        <w:trPr>
          <w:trHeight w:val="1485"/>
          <w:jc w:val="center"/>
        </w:trPr>
        <w:tc>
          <w:tcPr>
            <w:tcW w:w="329" w:type="pct"/>
            <w:vAlign w:val="center"/>
          </w:tcPr>
          <w:p w:rsidR="00A709C0" w:rsidRPr="001312F4" w:rsidRDefault="00A709C0" w:rsidP="00A70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8" w:type="pct"/>
            <w:vAlign w:val="center"/>
          </w:tcPr>
          <w:p w:rsidR="00A709C0" w:rsidRPr="00A709C0" w:rsidRDefault="00A709C0" w:rsidP="00A709C0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A709C0">
              <w:rPr>
                <w:rFonts w:ascii="Times New Roman" w:hAnsi="Times New Roman" w:cs="Times New Roman"/>
                <w:color w:val="auto"/>
              </w:rPr>
              <w:t>НПФ «Санкт-Петербург»</w:t>
            </w:r>
          </w:p>
          <w:p w:rsidR="00A709C0" w:rsidRPr="00A709C0" w:rsidRDefault="00A709C0" w:rsidP="00A70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pct"/>
            <w:tcBorders>
              <w:right w:val="single" w:sz="4" w:space="0" w:color="auto"/>
            </w:tcBorders>
          </w:tcPr>
          <w:p w:rsidR="00A709C0" w:rsidRPr="001312F4" w:rsidRDefault="00A709C0" w:rsidP="002E7DED">
            <w:pPr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476">
              <w:rPr>
                <w:rFonts w:ascii="Times New Roman" w:eastAsia="Times New Roman" w:hAnsi="Times New Roman"/>
                <w:sz w:val="24"/>
                <w:szCs w:val="24"/>
              </w:rPr>
              <w:t>Основными областями деятельности данного фонда являются обязательное и добровольное пенсионное страхование. Также он реализует гос. программу софинансирования пенсий, инвестируя пенсионные резервы и увеличивая накопительную часть трудовой пенсии клиентов</w:t>
            </w:r>
            <w:r w:rsidR="004F2689" w:rsidRPr="004F2689">
              <w:rPr>
                <w:rFonts w:ascii="Times New Roman" w:eastAsia="Times New Roman" w:hAnsi="Times New Roman"/>
                <w:sz w:val="24"/>
                <w:szCs w:val="24"/>
              </w:rPr>
              <w:t>[9]</w:t>
            </w:r>
            <w:r w:rsidRPr="00972476">
              <w:rPr>
                <w:rFonts w:ascii="Times New Roman" w:eastAsia="Times New Roman" w:hAnsi="Times New Roman"/>
                <w:sz w:val="24"/>
                <w:szCs w:val="24"/>
              </w:rPr>
              <w:t xml:space="preserve">.  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:rsidR="00A709C0" w:rsidRPr="001312F4" w:rsidRDefault="00A709C0" w:rsidP="00A70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F4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A709C0" w:rsidRPr="001312F4" w:rsidTr="00A709C0">
        <w:trPr>
          <w:trHeight w:val="742"/>
          <w:jc w:val="center"/>
        </w:trPr>
        <w:tc>
          <w:tcPr>
            <w:tcW w:w="329" w:type="pct"/>
            <w:vAlign w:val="center"/>
          </w:tcPr>
          <w:p w:rsidR="00A709C0" w:rsidRPr="001312F4" w:rsidRDefault="00A709C0" w:rsidP="00A70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8" w:type="pct"/>
            <w:vAlign w:val="center"/>
          </w:tcPr>
          <w:p w:rsidR="00A709C0" w:rsidRPr="00A709C0" w:rsidRDefault="00A709C0" w:rsidP="00A709C0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A709C0">
              <w:rPr>
                <w:rFonts w:ascii="Times New Roman" w:hAnsi="Times New Roman" w:cs="Times New Roman"/>
                <w:color w:val="auto"/>
              </w:rPr>
              <w:t>НПФ «Магнит»</w:t>
            </w:r>
          </w:p>
          <w:p w:rsidR="00A709C0" w:rsidRPr="00A709C0" w:rsidRDefault="00A709C0" w:rsidP="00A70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pct"/>
            <w:tcBorders>
              <w:right w:val="single" w:sz="4" w:space="0" w:color="auto"/>
            </w:tcBorders>
          </w:tcPr>
          <w:p w:rsidR="00A709C0" w:rsidRPr="004F2689" w:rsidRDefault="00A709C0" w:rsidP="002E7DED">
            <w:pPr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2F4">
              <w:rPr>
                <w:rFonts w:ascii="Times New Roman" w:hAnsi="Times New Roman"/>
                <w:sz w:val="24"/>
                <w:szCs w:val="24"/>
              </w:rPr>
              <w:t>С 2009 года он имеет неограниченную по времени лицензию Федеральной службы по финансовым рынкам</w:t>
            </w:r>
            <w:r w:rsidR="004F2689" w:rsidRPr="004F2689">
              <w:rPr>
                <w:rFonts w:ascii="Times New Roman" w:hAnsi="Times New Roman"/>
                <w:sz w:val="24"/>
                <w:szCs w:val="24"/>
              </w:rPr>
              <w:t>[6]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:rsidR="00A709C0" w:rsidRPr="001312F4" w:rsidRDefault="00A709C0" w:rsidP="00A70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F4">
              <w:rPr>
                <w:rFonts w:ascii="Times New Roman" w:hAnsi="Times New Roman"/>
                <w:sz w:val="24"/>
                <w:szCs w:val="24"/>
              </w:rPr>
              <w:t>10,36</w:t>
            </w:r>
          </w:p>
        </w:tc>
      </w:tr>
      <w:tr w:rsidR="00A709C0" w:rsidRPr="001312F4" w:rsidTr="00A709C0">
        <w:trPr>
          <w:trHeight w:val="1728"/>
          <w:jc w:val="center"/>
        </w:trPr>
        <w:tc>
          <w:tcPr>
            <w:tcW w:w="329" w:type="pct"/>
            <w:vAlign w:val="center"/>
          </w:tcPr>
          <w:p w:rsidR="00A709C0" w:rsidRPr="001312F4" w:rsidRDefault="00A709C0" w:rsidP="00A70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8" w:type="pct"/>
            <w:vAlign w:val="center"/>
          </w:tcPr>
          <w:p w:rsidR="00A709C0" w:rsidRPr="00A709C0" w:rsidRDefault="00A709C0" w:rsidP="00A709C0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A709C0">
              <w:rPr>
                <w:rFonts w:ascii="Times New Roman" w:hAnsi="Times New Roman" w:cs="Times New Roman"/>
                <w:color w:val="auto"/>
              </w:rPr>
              <w:t>ЗАО МНПФ «Большой»</w:t>
            </w:r>
          </w:p>
          <w:p w:rsidR="00A709C0" w:rsidRPr="00A709C0" w:rsidRDefault="00A709C0" w:rsidP="00A70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pct"/>
            <w:tcBorders>
              <w:right w:val="single" w:sz="4" w:space="0" w:color="auto"/>
            </w:tcBorders>
          </w:tcPr>
          <w:p w:rsidR="00A709C0" w:rsidRPr="001312F4" w:rsidRDefault="00A709C0" w:rsidP="002E7DED">
            <w:pPr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72476">
              <w:rPr>
                <w:rFonts w:ascii="Times New Roman" w:eastAsia="Times New Roman" w:hAnsi="Times New Roman"/>
                <w:sz w:val="24"/>
                <w:szCs w:val="24"/>
              </w:rPr>
              <w:t>бслуживает около 500 тысяч человек и имеет исключительно высокий рейтинг надежности (А++). Это означает, что с крайне высокой степенью вероятности фонд исполнит обязательства перед клиентами, даже если экономические условия будут неблагоприятными</w:t>
            </w:r>
            <w:r w:rsidR="004F2689" w:rsidRPr="004F2689">
              <w:rPr>
                <w:rFonts w:ascii="Times New Roman" w:eastAsia="Times New Roman" w:hAnsi="Times New Roman"/>
                <w:sz w:val="24"/>
                <w:szCs w:val="24"/>
              </w:rPr>
              <w:t>[7]</w:t>
            </w:r>
            <w:r w:rsidRPr="00972476">
              <w:rPr>
                <w:rFonts w:ascii="Times New Roman" w:eastAsia="Times New Roman" w:hAnsi="Times New Roman"/>
                <w:sz w:val="24"/>
                <w:szCs w:val="24"/>
              </w:rPr>
              <w:t xml:space="preserve">.   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:rsidR="00A709C0" w:rsidRPr="001312F4" w:rsidRDefault="00A709C0" w:rsidP="00A70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F4">
              <w:rPr>
                <w:rFonts w:ascii="Times New Roman" w:hAnsi="Times New Roman"/>
                <w:sz w:val="24"/>
                <w:szCs w:val="24"/>
              </w:rPr>
              <w:t>10,33</w:t>
            </w:r>
          </w:p>
        </w:tc>
      </w:tr>
      <w:tr w:rsidR="00A709C0" w:rsidRPr="001312F4" w:rsidTr="00A709C0">
        <w:trPr>
          <w:trHeight w:val="985"/>
          <w:jc w:val="center"/>
        </w:trPr>
        <w:tc>
          <w:tcPr>
            <w:tcW w:w="329" w:type="pct"/>
            <w:vAlign w:val="center"/>
          </w:tcPr>
          <w:p w:rsidR="00A709C0" w:rsidRPr="001312F4" w:rsidRDefault="00A709C0" w:rsidP="00A70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8" w:type="pct"/>
            <w:vAlign w:val="center"/>
          </w:tcPr>
          <w:p w:rsidR="00A709C0" w:rsidRPr="001312F4" w:rsidRDefault="00A709C0" w:rsidP="00A709C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72476">
              <w:rPr>
                <w:rFonts w:ascii="Times New Roman" w:hAnsi="Times New Roman"/>
                <w:sz w:val="24"/>
                <w:szCs w:val="24"/>
              </w:rPr>
              <w:t>НПФ «Поволжский»</w:t>
            </w:r>
          </w:p>
        </w:tc>
        <w:tc>
          <w:tcPr>
            <w:tcW w:w="2804" w:type="pct"/>
            <w:tcBorders>
              <w:right w:val="single" w:sz="4" w:space="0" w:color="auto"/>
            </w:tcBorders>
          </w:tcPr>
          <w:p w:rsidR="00A709C0" w:rsidRPr="004F2689" w:rsidRDefault="00A709C0" w:rsidP="002E7DED">
            <w:pPr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2F4">
              <w:rPr>
                <w:rFonts w:ascii="Times New Roman" w:hAnsi="Times New Roman"/>
                <w:sz w:val="24"/>
                <w:szCs w:val="24"/>
              </w:rPr>
              <w:t>Один из ветеранов пенсионного рынка (год «рождения» — 1993). Его вкладчиками могут быть не только физические лица, но и юридические лица.</w:t>
            </w:r>
            <w:r w:rsidR="004F2689" w:rsidRPr="004F2689">
              <w:rPr>
                <w:rFonts w:ascii="Times New Roman" w:hAnsi="Times New Roman"/>
                <w:sz w:val="24"/>
                <w:szCs w:val="24"/>
              </w:rPr>
              <w:t>[7]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:rsidR="00A709C0" w:rsidRPr="001312F4" w:rsidRDefault="00A709C0" w:rsidP="00A70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F4">
              <w:rPr>
                <w:rFonts w:ascii="Times New Roman" w:hAnsi="Times New Roman"/>
                <w:sz w:val="24"/>
                <w:szCs w:val="24"/>
              </w:rPr>
              <w:t>9.87</w:t>
            </w:r>
          </w:p>
        </w:tc>
      </w:tr>
    </w:tbl>
    <w:p w:rsidR="00A709C0" w:rsidRDefault="00A709C0" w:rsidP="00A709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709C0" w:rsidRDefault="00A709C0" w:rsidP="00A709C0">
      <w:pPr>
        <w:pStyle w:val="TNR"/>
        <w:ind w:left="-567" w:firstLine="425"/>
        <w:outlineLvl w:val="1"/>
      </w:pPr>
      <w:r>
        <w:t xml:space="preserve">Согласно таблице 1, рейтинг НПФ подготавливался, основываясь на показатели деятельности фондов в период 2009 – начала 2016 года.  В ходе чего выяснилось, что наиболее надежный и доходный негосударственный пенсионный фонд – это </w:t>
      </w:r>
      <w:r w:rsidRPr="00D9371E">
        <w:t>Европейский пенсионный фонд (АО)</w:t>
      </w:r>
      <w:r>
        <w:t>, который занимает первое место не только в рейтинге доходности (</w:t>
      </w:r>
      <w:r w:rsidRPr="00D9371E">
        <w:t>12,43</w:t>
      </w:r>
      <w:r>
        <w:t>%</w:t>
      </w:r>
      <w:r w:rsidRPr="00D9371E">
        <w:t>), но и в рейтинге надежности в том числе.</w:t>
      </w:r>
    </w:p>
    <w:p w:rsidR="00A709C0" w:rsidRDefault="00A709C0" w:rsidP="00A709C0">
      <w:pPr>
        <w:pStyle w:val="TNR"/>
        <w:ind w:left="-567" w:firstLine="425"/>
        <w:outlineLvl w:val="1"/>
      </w:pPr>
      <w:r>
        <w:t>Формирование надежной показателей деятельности НПФ определяется структурой активов пенсионных накоплений и резервов, благодаря которым возможно провести обоснование эффективности этих показателей (таб.2)</w:t>
      </w:r>
      <w:r w:rsidR="004F2689" w:rsidRPr="004F2689">
        <w:t>[9]</w:t>
      </w:r>
      <w:r>
        <w:t>.</w:t>
      </w:r>
    </w:p>
    <w:p w:rsidR="00E42EF2" w:rsidRDefault="00E42EF2" w:rsidP="00A709C0">
      <w:pPr>
        <w:pStyle w:val="TNR"/>
        <w:outlineLvl w:val="1"/>
        <w:rPr>
          <w:b/>
          <w:sz w:val="24"/>
        </w:rPr>
      </w:pPr>
    </w:p>
    <w:p w:rsidR="00E42EF2" w:rsidRDefault="00E42EF2" w:rsidP="00A709C0">
      <w:pPr>
        <w:pStyle w:val="TNR"/>
        <w:outlineLvl w:val="1"/>
        <w:rPr>
          <w:b/>
          <w:sz w:val="24"/>
        </w:rPr>
      </w:pPr>
    </w:p>
    <w:p w:rsidR="00E42EF2" w:rsidRDefault="00E42EF2" w:rsidP="00A709C0">
      <w:pPr>
        <w:pStyle w:val="TNR"/>
        <w:outlineLvl w:val="1"/>
        <w:rPr>
          <w:b/>
          <w:sz w:val="24"/>
        </w:rPr>
      </w:pPr>
    </w:p>
    <w:p w:rsidR="00A709C0" w:rsidRDefault="00A709C0" w:rsidP="00A709C0">
      <w:pPr>
        <w:pStyle w:val="TNR"/>
        <w:outlineLvl w:val="1"/>
        <w:rPr>
          <w:b/>
          <w:sz w:val="24"/>
        </w:rPr>
      </w:pPr>
    </w:p>
    <w:p w:rsidR="00E42EF2" w:rsidRPr="00A709C0" w:rsidRDefault="00E42EF2" w:rsidP="00A709C0">
      <w:pPr>
        <w:pStyle w:val="TNR"/>
        <w:outlineLvl w:val="1"/>
        <w:rPr>
          <w:b/>
          <w:sz w:val="24"/>
        </w:rPr>
      </w:pPr>
      <w:r w:rsidRPr="00A709C0">
        <w:rPr>
          <w:b/>
          <w:sz w:val="24"/>
        </w:rPr>
        <w:t>Таблица 2 – Структура портфеля пенсионных накоплений НПФ, %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07"/>
        <w:gridCol w:w="1079"/>
        <w:gridCol w:w="1078"/>
        <w:gridCol w:w="1078"/>
        <w:gridCol w:w="1078"/>
        <w:gridCol w:w="1079"/>
        <w:gridCol w:w="1086"/>
        <w:gridCol w:w="1086"/>
      </w:tblGrid>
      <w:tr w:rsidR="00A709C0" w:rsidRPr="00AE7799" w:rsidTr="00A709C0">
        <w:trPr>
          <w:jc w:val="center"/>
        </w:trPr>
        <w:tc>
          <w:tcPr>
            <w:tcW w:w="2007" w:type="dxa"/>
            <w:vAlign w:val="center"/>
          </w:tcPr>
          <w:p w:rsidR="00A709C0" w:rsidRPr="00AE7799" w:rsidRDefault="00A709C0" w:rsidP="00A709C0">
            <w:pPr>
              <w:pStyle w:val="TNR"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A709C0" w:rsidRPr="00AE7799" w:rsidRDefault="00A709C0" w:rsidP="00A709C0">
            <w:pPr>
              <w:pStyle w:val="TNR"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AE7799">
              <w:rPr>
                <w:sz w:val="24"/>
                <w:szCs w:val="24"/>
              </w:rPr>
              <w:t>2009</w:t>
            </w:r>
          </w:p>
        </w:tc>
        <w:tc>
          <w:tcPr>
            <w:tcW w:w="1078" w:type="dxa"/>
            <w:vAlign w:val="center"/>
          </w:tcPr>
          <w:p w:rsidR="00A709C0" w:rsidRPr="00AE7799" w:rsidRDefault="00A709C0" w:rsidP="00A709C0">
            <w:pPr>
              <w:pStyle w:val="TNR"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AE7799">
              <w:rPr>
                <w:sz w:val="24"/>
                <w:szCs w:val="24"/>
              </w:rPr>
              <w:t>2010</w:t>
            </w:r>
          </w:p>
        </w:tc>
        <w:tc>
          <w:tcPr>
            <w:tcW w:w="1078" w:type="dxa"/>
            <w:vAlign w:val="center"/>
          </w:tcPr>
          <w:p w:rsidR="00A709C0" w:rsidRPr="00AE7799" w:rsidRDefault="00A709C0" w:rsidP="00A709C0">
            <w:pPr>
              <w:pStyle w:val="TNR"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AE7799">
              <w:rPr>
                <w:sz w:val="24"/>
                <w:szCs w:val="24"/>
              </w:rPr>
              <w:t>2011</w:t>
            </w:r>
          </w:p>
        </w:tc>
        <w:tc>
          <w:tcPr>
            <w:tcW w:w="1078" w:type="dxa"/>
            <w:vAlign w:val="center"/>
          </w:tcPr>
          <w:p w:rsidR="00A709C0" w:rsidRPr="00AE7799" w:rsidRDefault="00A709C0" w:rsidP="00A709C0">
            <w:pPr>
              <w:pStyle w:val="TNR"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AE7799">
              <w:rPr>
                <w:sz w:val="24"/>
                <w:szCs w:val="24"/>
              </w:rPr>
              <w:t>2012</w:t>
            </w:r>
          </w:p>
        </w:tc>
        <w:tc>
          <w:tcPr>
            <w:tcW w:w="1079" w:type="dxa"/>
            <w:vAlign w:val="center"/>
          </w:tcPr>
          <w:p w:rsidR="00A709C0" w:rsidRPr="00AE7799" w:rsidRDefault="00A709C0" w:rsidP="00A709C0">
            <w:pPr>
              <w:pStyle w:val="TNR"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AE7799">
              <w:rPr>
                <w:sz w:val="24"/>
                <w:szCs w:val="24"/>
              </w:rPr>
              <w:t>2013</w:t>
            </w:r>
          </w:p>
        </w:tc>
        <w:tc>
          <w:tcPr>
            <w:tcW w:w="1086" w:type="dxa"/>
            <w:vAlign w:val="center"/>
          </w:tcPr>
          <w:p w:rsidR="00A709C0" w:rsidRPr="00AE7799" w:rsidRDefault="00A709C0" w:rsidP="00A709C0">
            <w:pPr>
              <w:pStyle w:val="TNR"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AE7799">
              <w:rPr>
                <w:sz w:val="24"/>
                <w:szCs w:val="24"/>
              </w:rPr>
              <w:t>2015</w:t>
            </w:r>
          </w:p>
        </w:tc>
        <w:tc>
          <w:tcPr>
            <w:tcW w:w="1086" w:type="dxa"/>
            <w:vAlign w:val="center"/>
          </w:tcPr>
          <w:p w:rsidR="00A709C0" w:rsidRPr="00AE7799" w:rsidRDefault="00A709C0" w:rsidP="00A709C0">
            <w:pPr>
              <w:pStyle w:val="TNR"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AE7799">
              <w:rPr>
                <w:sz w:val="24"/>
                <w:szCs w:val="24"/>
              </w:rPr>
              <w:t>2016</w:t>
            </w:r>
          </w:p>
        </w:tc>
      </w:tr>
      <w:tr w:rsidR="00A709C0" w:rsidRPr="00AE7799" w:rsidTr="00A709C0">
        <w:trPr>
          <w:jc w:val="center"/>
        </w:trPr>
        <w:tc>
          <w:tcPr>
            <w:tcW w:w="2007" w:type="dxa"/>
            <w:vAlign w:val="center"/>
          </w:tcPr>
          <w:p w:rsidR="00A709C0" w:rsidRPr="00AE7799" w:rsidRDefault="00A709C0" w:rsidP="00A709C0">
            <w:pPr>
              <w:pStyle w:val="TNR"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средства и </w:t>
            </w:r>
            <w:r w:rsidRPr="00AE7799">
              <w:rPr>
                <w:sz w:val="24"/>
                <w:szCs w:val="24"/>
              </w:rPr>
              <w:t>депозиты</w:t>
            </w:r>
          </w:p>
        </w:tc>
        <w:tc>
          <w:tcPr>
            <w:tcW w:w="1079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7,3</w:t>
            </w:r>
          </w:p>
        </w:tc>
        <w:tc>
          <w:tcPr>
            <w:tcW w:w="1078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6,4</w:t>
            </w:r>
          </w:p>
        </w:tc>
        <w:tc>
          <w:tcPr>
            <w:tcW w:w="1078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22,7</w:t>
            </w:r>
          </w:p>
        </w:tc>
        <w:tc>
          <w:tcPr>
            <w:tcW w:w="1078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16,6</w:t>
            </w:r>
          </w:p>
        </w:tc>
        <w:tc>
          <w:tcPr>
            <w:tcW w:w="1079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28,1</w:t>
            </w:r>
          </w:p>
        </w:tc>
        <w:tc>
          <w:tcPr>
            <w:tcW w:w="1086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46,37</w:t>
            </w:r>
          </w:p>
        </w:tc>
        <w:tc>
          <w:tcPr>
            <w:tcW w:w="1086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40,74</w:t>
            </w:r>
          </w:p>
        </w:tc>
      </w:tr>
      <w:tr w:rsidR="00A709C0" w:rsidRPr="00AE7799" w:rsidTr="00A709C0">
        <w:trPr>
          <w:jc w:val="center"/>
        </w:trPr>
        <w:tc>
          <w:tcPr>
            <w:tcW w:w="2007" w:type="dxa"/>
            <w:vAlign w:val="center"/>
          </w:tcPr>
          <w:p w:rsidR="00A709C0" w:rsidRPr="00AE7799" w:rsidRDefault="00A709C0" w:rsidP="00A709C0">
            <w:pPr>
              <w:pStyle w:val="TNR"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ценные бумаги РФ</w:t>
            </w:r>
          </w:p>
        </w:tc>
        <w:tc>
          <w:tcPr>
            <w:tcW w:w="1079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5,6</w:t>
            </w:r>
          </w:p>
        </w:tc>
        <w:tc>
          <w:tcPr>
            <w:tcW w:w="1078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2,0</w:t>
            </w:r>
          </w:p>
        </w:tc>
        <w:tc>
          <w:tcPr>
            <w:tcW w:w="1078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3,3</w:t>
            </w:r>
          </w:p>
        </w:tc>
        <w:tc>
          <w:tcPr>
            <w:tcW w:w="1078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2,5</w:t>
            </w:r>
          </w:p>
        </w:tc>
        <w:tc>
          <w:tcPr>
            <w:tcW w:w="1079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5,4</w:t>
            </w:r>
          </w:p>
        </w:tc>
        <w:tc>
          <w:tcPr>
            <w:tcW w:w="1086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2,62</w:t>
            </w:r>
          </w:p>
        </w:tc>
        <w:tc>
          <w:tcPr>
            <w:tcW w:w="1086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4,33</w:t>
            </w:r>
          </w:p>
        </w:tc>
      </w:tr>
      <w:tr w:rsidR="00A709C0" w:rsidRPr="00AE7799" w:rsidTr="00A709C0">
        <w:trPr>
          <w:jc w:val="center"/>
        </w:trPr>
        <w:tc>
          <w:tcPr>
            <w:tcW w:w="2007" w:type="dxa"/>
            <w:vAlign w:val="center"/>
          </w:tcPr>
          <w:p w:rsidR="00A709C0" w:rsidRDefault="00A709C0" w:rsidP="00A709C0">
            <w:pPr>
              <w:pStyle w:val="TNR"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Региональные облигации</w:t>
            </w:r>
          </w:p>
        </w:tc>
        <w:tc>
          <w:tcPr>
            <w:tcW w:w="1079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18,8</w:t>
            </w:r>
          </w:p>
        </w:tc>
        <w:tc>
          <w:tcPr>
            <w:tcW w:w="1078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15,2</w:t>
            </w:r>
          </w:p>
        </w:tc>
        <w:tc>
          <w:tcPr>
            <w:tcW w:w="1078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18,4</w:t>
            </w:r>
          </w:p>
        </w:tc>
        <w:tc>
          <w:tcPr>
            <w:tcW w:w="1078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12,1</w:t>
            </w:r>
          </w:p>
        </w:tc>
        <w:tc>
          <w:tcPr>
            <w:tcW w:w="1079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7,2</w:t>
            </w:r>
          </w:p>
        </w:tc>
        <w:tc>
          <w:tcPr>
            <w:tcW w:w="1086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7,06</w:t>
            </w:r>
          </w:p>
        </w:tc>
        <w:tc>
          <w:tcPr>
            <w:tcW w:w="1086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5,74</w:t>
            </w:r>
          </w:p>
        </w:tc>
      </w:tr>
      <w:tr w:rsidR="00A709C0" w:rsidRPr="00AE7799" w:rsidTr="00A709C0">
        <w:trPr>
          <w:jc w:val="center"/>
        </w:trPr>
        <w:tc>
          <w:tcPr>
            <w:tcW w:w="2007" w:type="dxa"/>
            <w:vAlign w:val="center"/>
          </w:tcPr>
          <w:p w:rsidR="00A709C0" w:rsidRDefault="00A709C0" w:rsidP="00A709C0">
            <w:pPr>
              <w:pStyle w:val="TNR"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Корпоративные облигации</w:t>
            </w:r>
          </w:p>
        </w:tc>
        <w:tc>
          <w:tcPr>
            <w:tcW w:w="1079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38,2</w:t>
            </w:r>
          </w:p>
        </w:tc>
        <w:tc>
          <w:tcPr>
            <w:tcW w:w="1078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46,7</w:t>
            </w:r>
          </w:p>
        </w:tc>
        <w:tc>
          <w:tcPr>
            <w:tcW w:w="1078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39,8</w:t>
            </w:r>
          </w:p>
        </w:tc>
        <w:tc>
          <w:tcPr>
            <w:tcW w:w="1078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51,2</w:t>
            </w:r>
          </w:p>
        </w:tc>
        <w:tc>
          <w:tcPr>
            <w:tcW w:w="1079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46,4</w:t>
            </w:r>
          </w:p>
        </w:tc>
        <w:tc>
          <w:tcPr>
            <w:tcW w:w="1086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33,96</w:t>
            </w:r>
          </w:p>
        </w:tc>
        <w:tc>
          <w:tcPr>
            <w:tcW w:w="1086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36,26</w:t>
            </w:r>
          </w:p>
        </w:tc>
      </w:tr>
      <w:tr w:rsidR="00A709C0" w:rsidRPr="00AE7799" w:rsidTr="00A709C0">
        <w:trPr>
          <w:jc w:val="center"/>
        </w:trPr>
        <w:tc>
          <w:tcPr>
            <w:tcW w:w="2007" w:type="dxa"/>
            <w:vAlign w:val="center"/>
          </w:tcPr>
          <w:p w:rsidR="00A709C0" w:rsidRDefault="00A709C0" w:rsidP="00A709C0">
            <w:pPr>
              <w:pStyle w:val="TNR"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</w:t>
            </w:r>
          </w:p>
        </w:tc>
        <w:tc>
          <w:tcPr>
            <w:tcW w:w="1079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27,3</w:t>
            </w:r>
          </w:p>
        </w:tc>
        <w:tc>
          <w:tcPr>
            <w:tcW w:w="1078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11,6</w:t>
            </w:r>
          </w:p>
        </w:tc>
        <w:tc>
          <w:tcPr>
            <w:tcW w:w="1078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13,5</w:t>
            </w:r>
          </w:p>
        </w:tc>
        <w:tc>
          <w:tcPr>
            <w:tcW w:w="1078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13,3</w:t>
            </w:r>
          </w:p>
        </w:tc>
        <w:tc>
          <w:tcPr>
            <w:tcW w:w="1079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8,4</w:t>
            </w:r>
          </w:p>
        </w:tc>
        <w:tc>
          <w:tcPr>
            <w:tcW w:w="1086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6,32</w:t>
            </w:r>
          </w:p>
        </w:tc>
        <w:tc>
          <w:tcPr>
            <w:tcW w:w="1086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6,37</w:t>
            </w:r>
          </w:p>
        </w:tc>
      </w:tr>
      <w:tr w:rsidR="00A709C0" w:rsidRPr="00AE7799" w:rsidTr="00A709C0">
        <w:trPr>
          <w:jc w:val="center"/>
        </w:trPr>
        <w:tc>
          <w:tcPr>
            <w:tcW w:w="2007" w:type="dxa"/>
            <w:vAlign w:val="center"/>
          </w:tcPr>
          <w:p w:rsidR="00A709C0" w:rsidRDefault="00A709C0" w:rsidP="00A709C0">
            <w:pPr>
              <w:pStyle w:val="TNR"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Ипотечные ценные бумаги</w:t>
            </w:r>
          </w:p>
        </w:tc>
        <w:tc>
          <w:tcPr>
            <w:tcW w:w="1079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0,0</w:t>
            </w:r>
          </w:p>
        </w:tc>
        <w:tc>
          <w:tcPr>
            <w:tcW w:w="1078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0,1</w:t>
            </w:r>
          </w:p>
        </w:tc>
        <w:tc>
          <w:tcPr>
            <w:tcW w:w="1078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0,2</w:t>
            </w:r>
          </w:p>
        </w:tc>
        <w:tc>
          <w:tcPr>
            <w:tcW w:w="1078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0,5</w:t>
            </w:r>
          </w:p>
        </w:tc>
        <w:tc>
          <w:tcPr>
            <w:tcW w:w="1079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0,0</w:t>
            </w:r>
          </w:p>
        </w:tc>
        <w:tc>
          <w:tcPr>
            <w:tcW w:w="1086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0,34</w:t>
            </w:r>
          </w:p>
        </w:tc>
        <w:tc>
          <w:tcPr>
            <w:tcW w:w="1086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2,71</w:t>
            </w:r>
          </w:p>
        </w:tc>
      </w:tr>
      <w:tr w:rsidR="00A709C0" w:rsidRPr="00AE7799" w:rsidTr="00A709C0">
        <w:trPr>
          <w:jc w:val="center"/>
        </w:trPr>
        <w:tc>
          <w:tcPr>
            <w:tcW w:w="2007" w:type="dxa"/>
            <w:vAlign w:val="center"/>
          </w:tcPr>
          <w:p w:rsidR="00A709C0" w:rsidRDefault="00A709C0" w:rsidP="00A709C0">
            <w:pPr>
              <w:pStyle w:val="TNR"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Паи иностранных индексных фондов</w:t>
            </w:r>
          </w:p>
        </w:tc>
        <w:tc>
          <w:tcPr>
            <w:tcW w:w="1079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0,0</w:t>
            </w:r>
          </w:p>
        </w:tc>
        <w:tc>
          <w:tcPr>
            <w:tcW w:w="1078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0,0</w:t>
            </w:r>
          </w:p>
        </w:tc>
        <w:tc>
          <w:tcPr>
            <w:tcW w:w="1078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0,0</w:t>
            </w:r>
          </w:p>
        </w:tc>
        <w:tc>
          <w:tcPr>
            <w:tcW w:w="1078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0,0</w:t>
            </w:r>
          </w:p>
        </w:tc>
        <w:tc>
          <w:tcPr>
            <w:tcW w:w="1079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0,0</w:t>
            </w:r>
          </w:p>
        </w:tc>
        <w:tc>
          <w:tcPr>
            <w:tcW w:w="1086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0,00</w:t>
            </w:r>
          </w:p>
        </w:tc>
        <w:tc>
          <w:tcPr>
            <w:tcW w:w="1086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0,00</w:t>
            </w:r>
          </w:p>
        </w:tc>
      </w:tr>
      <w:tr w:rsidR="00A709C0" w:rsidRPr="00AE7799" w:rsidTr="00A709C0">
        <w:trPr>
          <w:jc w:val="center"/>
        </w:trPr>
        <w:tc>
          <w:tcPr>
            <w:tcW w:w="2007" w:type="dxa"/>
            <w:vAlign w:val="center"/>
          </w:tcPr>
          <w:p w:rsidR="00A709C0" w:rsidRDefault="00A709C0" w:rsidP="00A709C0">
            <w:pPr>
              <w:pStyle w:val="TNR"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 международных финансовых организаций</w:t>
            </w:r>
          </w:p>
        </w:tc>
        <w:tc>
          <w:tcPr>
            <w:tcW w:w="1079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0,0</w:t>
            </w:r>
          </w:p>
        </w:tc>
        <w:tc>
          <w:tcPr>
            <w:tcW w:w="1078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0,0</w:t>
            </w:r>
          </w:p>
        </w:tc>
        <w:tc>
          <w:tcPr>
            <w:tcW w:w="1078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0,0</w:t>
            </w:r>
          </w:p>
        </w:tc>
        <w:tc>
          <w:tcPr>
            <w:tcW w:w="1078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0,0</w:t>
            </w:r>
          </w:p>
        </w:tc>
        <w:tc>
          <w:tcPr>
            <w:tcW w:w="1079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0,4</w:t>
            </w:r>
          </w:p>
        </w:tc>
        <w:tc>
          <w:tcPr>
            <w:tcW w:w="1086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0,30</w:t>
            </w:r>
          </w:p>
        </w:tc>
        <w:tc>
          <w:tcPr>
            <w:tcW w:w="1086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0,28</w:t>
            </w:r>
          </w:p>
        </w:tc>
      </w:tr>
      <w:tr w:rsidR="00A709C0" w:rsidRPr="00AE7799" w:rsidTr="00A709C0">
        <w:trPr>
          <w:jc w:val="center"/>
        </w:trPr>
        <w:tc>
          <w:tcPr>
            <w:tcW w:w="2007" w:type="dxa"/>
            <w:vAlign w:val="center"/>
          </w:tcPr>
          <w:p w:rsidR="00A709C0" w:rsidRDefault="00A709C0" w:rsidP="00A709C0">
            <w:pPr>
              <w:pStyle w:val="TNR"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Прочее</w:t>
            </w:r>
          </w:p>
        </w:tc>
        <w:tc>
          <w:tcPr>
            <w:tcW w:w="1079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2,9</w:t>
            </w:r>
          </w:p>
        </w:tc>
        <w:tc>
          <w:tcPr>
            <w:tcW w:w="1078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18,0</w:t>
            </w:r>
          </w:p>
        </w:tc>
        <w:tc>
          <w:tcPr>
            <w:tcW w:w="1078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2,1</w:t>
            </w:r>
          </w:p>
        </w:tc>
        <w:tc>
          <w:tcPr>
            <w:tcW w:w="1078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3,8</w:t>
            </w:r>
          </w:p>
        </w:tc>
        <w:tc>
          <w:tcPr>
            <w:tcW w:w="1079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4,1</w:t>
            </w:r>
          </w:p>
        </w:tc>
        <w:tc>
          <w:tcPr>
            <w:tcW w:w="1086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3,04</w:t>
            </w:r>
          </w:p>
        </w:tc>
        <w:tc>
          <w:tcPr>
            <w:tcW w:w="1086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3,57</w:t>
            </w:r>
          </w:p>
        </w:tc>
      </w:tr>
      <w:tr w:rsidR="00A709C0" w:rsidRPr="00AE7799" w:rsidTr="00A709C0">
        <w:trPr>
          <w:jc w:val="center"/>
        </w:trPr>
        <w:tc>
          <w:tcPr>
            <w:tcW w:w="2007" w:type="dxa"/>
            <w:vAlign w:val="center"/>
          </w:tcPr>
          <w:p w:rsidR="00A709C0" w:rsidRDefault="00A709C0" w:rsidP="00A709C0">
            <w:pPr>
              <w:pStyle w:val="TNR"/>
              <w:spacing w:line="240" w:lineRule="auto"/>
              <w:ind w:firstLine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079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100,0</w:t>
            </w:r>
          </w:p>
        </w:tc>
        <w:tc>
          <w:tcPr>
            <w:tcW w:w="1078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100,0</w:t>
            </w:r>
          </w:p>
        </w:tc>
        <w:tc>
          <w:tcPr>
            <w:tcW w:w="1078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100,0</w:t>
            </w:r>
          </w:p>
        </w:tc>
        <w:tc>
          <w:tcPr>
            <w:tcW w:w="1078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100,0</w:t>
            </w:r>
          </w:p>
        </w:tc>
        <w:tc>
          <w:tcPr>
            <w:tcW w:w="1079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100,0</w:t>
            </w:r>
          </w:p>
        </w:tc>
        <w:tc>
          <w:tcPr>
            <w:tcW w:w="1086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100,0</w:t>
            </w:r>
          </w:p>
        </w:tc>
        <w:tc>
          <w:tcPr>
            <w:tcW w:w="1086" w:type="dxa"/>
            <w:vAlign w:val="center"/>
          </w:tcPr>
          <w:p w:rsidR="00A709C0" w:rsidRPr="007D0EB4" w:rsidRDefault="00A709C0" w:rsidP="00A709C0">
            <w:pPr>
              <w:pStyle w:val="Default"/>
              <w:jc w:val="center"/>
              <w:rPr>
                <w:sz w:val="23"/>
                <w:szCs w:val="23"/>
              </w:rPr>
            </w:pPr>
            <w:r w:rsidRPr="007D0EB4">
              <w:rPr>
                <w:sz w:val="23"/>
                <w:szCs w:val="23"/>
              </w:rPr>
              <w:t>100,0</w:t>
            </w:r>
          </w:p>
        </w:tc>
      </w:tr>
    </w:tbl>
    <w:p w:rsidR="00A709C0" w:rsidRDefault="00A709C0" w:rsidP="00A709C0">
      <w:pPr>
        <w:pStyle w:val="TNR"/>
        <w:outlineLvl w:val="1"/>
      </w:pPr>
    </w:p>
    <w:p w:rsidR="00A709C0" w:rsidRDefault="00A709C0" w:rsidP="00A709C0">
      <w:pPr>
        <w:pStyle w:val="TNR"/>
        <w:ind w:left="-567" w:firstLine="425"/>
        <w:outlineLvl w:val="1"/>
      </w:pPr>
      <w:r w:rsidRPr="00325E11">
        <w:t xml:space="preserve">В структуре пенсионных накоплений НПФ вложения в акции сократились с 27,3% в 2009 г. до 6,37% в 2016 г. </w:t>
      </w:r>
    </w:p>
    <w:p w:rsidR="00A709C0" w:rsidRDefault="00A709C0" w:rsidP="00A709C0">
      <w:pPr>
        <w:pStyle w:val="TNR"/>
        <w:ind w:left="-567" w:firstLine="425"/>
        <w:outlineLvl w:val="1"/>
      </w:pPr>
      <w:r w:rsidRPr="00325E11">
        <w:t xml:space="preserve">В то же время доля депозитов и денежных средств в указанных портфелях пенсионных накоплений выросла с 7,3% в 2009 г. до 40, 74% в 2016 г. </w:t>
      </w:r>
    </w:p>
    <w:p w:rsidR="00A709C0" w:rsidRDefault="00A709C0" w:rsidP="00A709C0">
      <w:pPr>
        <w:pStyle w:val="TNR"/>
        <w:ind w:left="-567" w:firstLine="425"/>
        <w:outlineLvl w:val="1"/>
      </w:pPr>
      <w:r w:rsidRPr="00325E11">
        <w:t>Это также связано с популярностью стратегии размещения пенсионных накоплений на счетах кэптивных банков, позволявшая косвенным образом</w:t>
      </w:r>
      <w:r>
        <w:t>,</w:t>
      </w:r>
      <w:r w:rsidRPr="00325E11">
        <w:t xml:space="preserve"> использовать данные схемы для финансирования непрозрачных инвестиционных проектов.</w:t>
      </w:r>
    </w:p>
    <w:p w:rsidR="00A709C0" w:rsidRDefault="00A709C0" w:rsidP="00A709C0">
      <w:pPr>
        <w:pStyle w:val="TNR"/>
        <w:ind w:left="-567" w:firstLine="425"/>
        <w:outlineLvl w:val="1"/>
      </w:pPr>
      <w:r>
        <w:t>В настоящее время негосударственные пенсионные фонды осуществляют свою деятельность в 54 субъектах Российской Федерации. Большинство из них располагаются в Москве и Санкт-Петербурге</w:t>
      </w:r>
      <w:r w:rsidR="004F2689" w:rsidRPr="00E42EF2">
        <w:t>[8]</w:t>
      </w:r>
      <w:r>
        <w:t>.</w:t>
      </w:r>
    </w:p>
    <w:p w:rsidR="00A709C0" w:rsidRDefault="00A709C0" w:rsidP="00A709C0">
      <w:pPr>
        <w:pStyle w:val="TNR"/>
        <w:ind w:left="-567" w:firstLine="425"/>
        <w:outlineLvl w:val="1"/>
      </w:pPr>
      <w:r>
        <w:t xml:space="preserve">Среднее число участников в расчете на один НПФ составляет около 21 тыс. человек. </w:t>
      </w:r>
    </w:p>
    <w:p w:rsidR="00A709C0" w:rsidRDefault="00A709C0" w:rsidP="00A709C0">
      <w:pPr>
        <w:pStyle w:val="TNR"/>
        <w:ind w:left="-567" w:firstLine="425"/>
        <w:outlineLvl w:val="1"/>
      </w:pPr>
      <w:r>
        <w:t>Число массовых по охвату НПФ, с численностью застрахованных более 10 тыс. человек, составляет всего 78 НПФ, или 31% от их общего числа. Концентрация по данному показателю весьма велика: на верхние 19 НПФ, каждый из которых имеет более 50 тысяч застрахованных составляет 67% от общей численности участников, а на остальные -  237 НПФ - 33%</w:t>
      </w:r>
      <w:r w:rsidR="004F2689" w:rsidRPr="004F2689">
        <w:t>[10]</w:t>
      </w:r>
      <w:r>
        <w:t>.</w:t>
      </w:r>
    </w:p>
    <w:p w:rsidR="005136E8" w:rsidRPr="005136E8" w:rsidRDefault="005136E8" w:rsidP="005136E8">
      <w:pPr>
        <w:pStyle w:val="TNR"/>
        <w:outlineLvl w:val="1"/>
        <w:rPr>
          <w:b/>
        </w:rPr>
      </w:pPr>
    </w:p>
    <w:bookmarkEnd w:id="5"/>
    <w:p w:rsidR="004B021C" w:rsidRPr="00B07BEF" w:rsidRDefault="004B021C" w:rsidP="004B021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021C" w:rsidRPr="00B07BEF" w:rsidRDefault="004B021C" w:rsidP="004B021C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123C" w:rsidRDefault="006B123C" w:rsidP="006B123C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4F2689" w:rsidRPr="004F2689" w:rsidRDefault="004F2689" w:rsidP="00A709C0">
      <w:pPr>
        <w:pStyle w:val="TNR"/>
        <w:ind w:left="-567" w:firstLine="567"/>
        <w:jc w:val="center"/>
        <w:rPr>
          <w:b/>
          <w:color w:val="0D0D0D" w:themeColor="text1" w:themeTint="F2"/>
        </w:rPr>
      </w:pPr>
    </w:p>
    <w:p w:rsidR="00334982" w:rsidRDefault="00334982" w:rsidP="00A709C0">
      <w:pPr>
        <w:pStyle w:val="TNR"/>
        <w:ind w:left="-567" w:firstLine="567"/>
        <w:jc w:val="center"/>
        <w:rPr>
          <w:b/>
          <w:color w:val="0D0D0D" w:themeColor="text1" w:themeTint="F2"/>
        </w:rPr>
      </w:pPr>
    </w:p>
    <w:p w:rsidR="00334982" w:rsidRDefault="00334982" w:rsidP="00A709C0">
      <w:pPr>
        <w:pStyle w:val="TNR"/>
        <w:ind w:left="-567" w:firstLine="567"/>
        <w:jc w:val="center"/>
        <w:rPr>
          <w:b/>
          <w:color w:val="0D0D0D" w:themeColor="text1" w:themeTint="F2"/>
        </w:rPr>
      </w:pPr>
    </w:p>
    <w:p w:rsidR="00334982" w:rsidRDefault="00334982" w:rsidP="00A709C0">
      <w:pPr>
        <w:pStyle w:val="TNR"/>
        <w:ind w:left="-567" w:firstLine="567"/>
        <w:jc w:val="center"/>
        <w:rPr>
          <w:b/>
          <w:color w:val="0D0D0D" w:themeColor="text1" w:themeTint="F2"/>
        </w:rPr>
      </w:pPr>
    </w:p>
    <w:p w:rsidR="00334982" w:rsidRDefault="00334982" w:rsidP="00A709C0">
      <w:pPr>
        <w:pStyle w:val="TNR"/>
        <w:ind w:left="-567" w:firstLine="567"/>
        <w:jc w:val="center"/>
        <w:rPr>
          <w:b/>
          <w:color w:val="0D0D0D" w:themeColor="text1" w:themeTint="F2"/>
        </w:rPr>
      </w:pPr>
    </w:p>
    <w:p w:rsidR="00334982" w:rsidRDefault="00334982" w:rsidP="00A709C0">
      <w:pPr>
        <w:pStyle w:val="TNR"/>
        <w:ind w:left="-567" w:firstLine="567"/>
        <w:jc w:val="center"/>
        <w:rPr>
          <w:b/>
          <w:color w:val="0D0D0D" w:themeColor="text1" w:themeTint="F2"/>
        </w:rPr>
      </w:pPr>
    </w:p>
    <w:p w:rsidR="00334982" w:rsidRDefault="00334982" w:rsidP="00A709C0">
      <w:pPr>
        <w:pStyle w:val="TNR"/>
        <w:ind w:left="-567" w:firstLine="567"/>
        <w:jc w:val="center"/>
        <w:rPr>
          <w:b/>
          <w:color w:val="0D0D0D" w:themeColor="text1" w:themeTint="F2"/>
        </w:rPr>
      </w:pPr>
    </w:p>
    <w:p w:rsidR="00334982" w:rsidRDefault="00334982" w:rsidP="00A709C0">
      <w:pPr>
        <w:pStyle w:val="TNR"/>
        <w:ind w:left="-567" w:firstLine="567"/>
        <w:jc w:val="center"/>
        <w:rPr>
          <w:b/>
          <w:color w:val="0D0D0D" w:themeColor="text1" w:themeTint="F2"/>
        </w:rPr>
      </w:pPr>
    </w:p>
    <w:p w:rsidR="00334982" w:rsidRDefault="00334982" w:rsidP="00A709C0">
      <w:pPr>
        <w:pStyle w:val="TNR"/>
        <w:ind w:left="-567" w:firstLine="567"/>
        <w:jc w:val="center"/>
        <w:rPr>
          <w:b/>
          <w:color w:val="0D0D0D" w:themeColor="text1" w:themeTint="F2"/>
        </w:rPr>
      </w:pPr>
    </w:p>
    <w:p w:rsidR="00334982" w:rsidRDefault="00334982" w:rsidP="00A709C0">
      <w:pPr>
        <w:pStyle w:val="TNR"/>
        <w:ind w:left="-567" w:firstLine="567"/>
        <w:jc w:val="center"/>
        <w:rPr>
          <w:b/>
          <w:color w:val="0D0D0D" w:themeColor="text1" w:themeTint="F2"/>
        </w:rPr>
      </w:pPr>
    </w:p>
    <w:p w:rsidR="00334982" w:rsidRDefault="00334982" w:rsidP="00A709C0">
      <w:pPr>
        <w:pStyle w:val="TNR"/>
        <w:ind w:left="-567" w:firstLine="567"/>
        <w:jc w:val="center"/>
        <w:rPr>
          <w:b/>
          <w:color w:val="0D0D0D" w:themeColor="text1" w:themeTint="F2"/>
        </w:rPr>
      </w:pPr>
    </w:p>
    <w:p w:rsidR="00334982" w:rsidRDefault="00334982" w:rsidP="00A709C0">
      <w:pPr>
        <w:pStyle w:val="TNR"/>
        <w:ind w:left="-567" w:firstLine="567"/>
        <w:jc w:val="center"/>
        <w:rPr>
          <w:b/>
          <w:color w:val="0D0D0D" w:themeColor="text1" w:themeTint="F2"/>
        </w:rPr>
      </w:pPr>
    </w:p>
    <w:p w:rsidR="00334982" w:rsidRDefault="00334982" w:rsidP="00A709C0">
      <w:pPr>
        <w:pStyle w:val="TNR"/>
        <w:ind w:left="-567" w:firstLine="567"/>
        <w:jc w:val="center"/>
        <w:rPr>
          <w:b/>
          <w:color w:val="0D0D0D" w:themeColor="text1" w:themeTint="F2"/>
        </w:rPr>
      </w:pPr>
    </w:p>
    <w:p w:rsidR="00334982" w:rsidRDefault="00334982" w:rsidP="00A709C0">
      <w:pPr>
        <w:pStyle w:val="TNR"/>
        <w:ind w:left="-567" w:firstLine="567"/>
        <w:jc w:val="center"/>
        <w:rPr>
          <w:b/>
          <w:color w:val="0D0D0D" w:themeColor="text1" w:themeTint="F2"/>
        </w:rPr>
      </w:pPr>
    </w:p>
    <w:p w:rsidR="00334982" w:rsidRDefault="00334982" w:rsidP="00A709C0">
      <w:pPr>
        <w:pStyle w:val="TNR"/>
        <w:ind w:left="-567" w:firstLine="567"/>
        <w:jc w:val="center"/>
        <w:rPr>
          <w:b/>
          <w:color w:val="0D0D0D" w:themeColor="text1" w:themeTint="F2"/>
        </w:rPr>
      </w:pPr>
    </w:p>
    <w:p w:rsidR="00334982" w:rsidRDefault="00334982" w:rsidP="00A709C0">
      <w:pPr>
        <w:pStyle w:val="TNR"/>
        <w:ind w:left="-567" w:firstLine="567"/>
        <w:jc w:val="center"/>
        <w:rPr>
          <w:b/>
          <w:color w:val="0D0D0D" w:themeColor="text1" w:themeTint="F2"/>
        </w:rPr>
      </w:pPr>
    </w:p>
    <w:p w:rsidR="00334982" w:rsidRDefault="00334982" w:rsidP="00A709C0">
      <w:pPr>
        <w:pStyle w:val="TNR"/>
        <w:ind w:left="-567" w:firstLine="567"/>
        <w:jc w:val="center"/>
        <w:rPr>
          <w:b/>
          <w:color w:val="0D0D0D" w:themeColor="text1" w:themeTint="F2"/>
        </w:rPr>
      </w:pPr>
    </w:p>
    <w:p w:rsidR="00334982" w:rsidRDefault="00334982" w:rsidP="00A709C0">
      <w:pPr>
        <w:pStyle w:val="TNR"/>
        <w:ind w:left="-567" w:firstLine="567"/>
        <w:jc w:val="center"/>
        <w:rPr>
          <w:b/>
          <w:color w:val="0D0D0D" w:themeColor="text1" w:themeTint="F2"/>
        </w:rPr>
      </w:pPr>
    </w:p>
    <w:p w:rsidR="00334982" w:rsidRDefault="00334982" w:rsidP="00A709C0">
      <w:pPr>
        <w:pStyle w:val="TNR"/>
        <w:ind w:left="-567" w:firstLine="567"/>
        <w:jc w:val="center"/>
        <w:rPr>
          <w:b/>
          <w:color w:val="0D0D0D" w:themeColor="text1" w:themeTint="F2"/>
        </w:rPr>
      </w:pPr>
    </w:p>
    <w:p w:rsidR="00334982" w:rsidRDefault="00334982" w:rsidP="00A709C0">
      <w:pPr>
        <w:pStyle w:val="TNR"/>
        <w:ind w:left="-567" w:firstLine="567"/>
        <w:jc w:val="center"/>
        <w:rPr>
          <w:b/>
          <w:color w:val="0D0D0D" w:themeColor="text1" w:themeTint="F2"/>
        </w:rPr>
      </w:pPr>
    </w:p>
    <w:p w:rsidR="00334982" w:rsidRDefault="00334982" w:rsidP="00E42EF2">
      <w:pPr>
        <w:pStyle w:val="TNR"/>
        <w:ind w:firstLine="0"/>
        <w:rPr>
          <w:b/>
          <w:color w:val="0D0D0D" w:themeColor="text1" w:themeTint="F2"/>
        </w:rPr>
      </w:pPr>
    </w:p>
    <w:p w:rsidR="00E42EF2" w:rsidRPr="00E42EF2" w:rsidRDefault="00E42EF2" w:rsidP="00E42EF2">
      <w:pPr>
        <w:pStyle w:val="TNR"/>
        <w:ind w:left="-567" w:firstLine="567"/>
        <w:jc w:val="center"/>
      </w:pPr>
      <w:r w:rsidRPr="000A0FAC">
        <w:rPr>
          <w:b/>
          <w:color w:val="0D0D0D" w:themeColor="text1" w:themeTint="F2"/>
        </w:rPr>
        <w:t>Заключение</w:t>
      </w:r>
    </w:p>
    <w:p w:rsidR="00A709C0" w:rsidRDefault="00A709C0" w:rsidP="00A709C0">
      <w:pPr>
        <w:pStyle w:val="TNR"/>
        <w:ind w:left="-567" w:firstLine="425"/>
        <w:outlineLvl w:val="1"/>
      </w:pPr>
      <w:r>
        <w:t>Состояние показателей НПФ за последние годы существенно изменилось.  Финансовые активы подвергались динамичному приросту в виду вступления в силу Закона РФ «Об инвестировании средств для финансирования накопительной части трудовой пенсии в Российской Федерации» и упорядочением в связи с этим деятельности НПФ»</w:t>
      </w:r>
      <w:r w:rsidR="004F2689" w:rsidRPr="004F2689">
        <w:t>[4]</w:t>
      </w:r>
      <w:r>
        <w:t>.</w:t>
      </w:r>
    </w:p>
    <w:p w:rsidR="00A709C0" w:rsidRDefault="00A709C0" w:rsidP="00A709C0">
      <w:pPr>
        <w:pStyle w:val="TNR"/>
        <w:ind w:left="-567" w:firstLine="425"/>
        <w:outlineLvl w:val="1"/>
      </w:pPr>
      <w:r>
        <w:t xml:space="preserve">Анализ показателей надежности и доходности позволил выделить наиболее устойчивый НПФ за период 2009-2016 гг. </w:t>
      </w:r>
    </w:p>
    <w:p w:rsidR="00A709C0" w:rsidRPr="00515C28" w:rsidRDefault="00A709C0" w:rsidP="00A709C0">
      <w:pPr>
        <w:pStyle w:val="TNR"/>
        <w:ind w:left="-567" w:firstLine="425"/>
        <w:outlineLvl w:val="1"/>
      </w:pPr>
      <w:r>
        <w:t xml:space="preserve">Наивысшими показателями на 2016 год обладают </w:t>
      </w:r>
      <w:r w:rsidRPr="00D158B8">
        <w:t>Европейский пенсионный фонд (АО) и НПФ «Оборонно-промышленный фонд»</w:t>
      </w:r>
      <w:r>
        <w:t xml:space="preserve">, доходность которых составляет </w:t>
      </w:r>
      <w:r w:rsidRPr="009E1E77">
        <w:t>12,43 и 11,94 процентов.</w:t>
      </w:r>
    </w:p>
    <w:p w:rsidR="00A709C0" w:rsidRPr="00B07BEF" w:rsidRDefault="00A709C0" w:rsidP="00A709C0">
      <w:pPr>
        <w:spacing w:after="0" w:line="36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BEF">
        <w:rPr>
          <w:rFonts w:ascii="Times New Roman" w:hAnsi="Times New Roman" w:cs="Times New Roman"/>
          <w:sz w:val="28"/>
          <w:szCs w:val="28"/>
        </w:rPr>
        <w:t>В практической части курсовой работе проведя сбор портфеля и его анализ были выполнены следующие задачи:</w:t>
      </w:r>
    </w:p>
    <w:p w:rsidR="00A709C0" w:rsidRPr="00B07BEF" w:rsidRDefault="00A709C0" w:rsidP="00A709C0">
      <w:pPr>
        <w:pStyle w:val="a3"/>
        <w:numPr>
          <w:ilvl w:val="0"/>
          <w:numId w:val="4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EF">
        <w:rPr>
          <w:rFonts w:ascii="Times New Roman" w:hAnsi="Times New Roman" w:cs="Times New Roman"/>
          <w:sz w:val="28"/>
          <w:szCs w:val="28"/>
        </w:rPr>
        <w:t>Определены цены по акциям и посчитали по ним доходность</w:t>
      </w:r>
    </w:p>
    <w:p w:rsidR="00A709C0" w:rsidRPr="00B07BEF" w:rsidRDefault="00A709C0" w:rsidP="00A709C0">
      <w:pPr>
        <w:pStyle w:val="a3"/>
        <w:numPr>
          <w:ilvl w:val="0"/>
          <w:numId w:val="4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EF">
        <w:rPr>
          <w:rFonts w:ascii="Times New Roman" w:hAnsi="Times New Roman" w:cs="Times New Roman"/>
          <w:sz w:val="28"/>
          <w:szCs w:val="28"/>
        </w:rPr>
        <w:t>Собраны данные о трёх портфелях</w:t>
      </w:r>
    </w:p>
    <w:p w:rsidR="00A709C0" w:rsidRPr="00B07BEF" w:rsidRDefault="00A709C0" w:rsidP="00A709C0">
      <w:pPr>
        <w:pStyle w:val="a3"/>
        <w:numPr>
          <w:ilvl w:val="0"/>
          <w:numId w:val="4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EF">
        <w:rPr>
          <w:rFonts w:ascii="Times New Roman" w:hAnsi="Times New Roman" w:cs="Times New Roman"/>
          <w:sz w:val="28"/>
          <w:szCs w:val="28"/>
        </w:rPr>
        <w:t>Проведены анализ портфеля</w:t>
      </w:r>
    </w:p>
    <w:p w:rsidR="00A709C0" w:rsidRPr="00B07BEF" w:rsidRDefault="00A709C0" w:rsidP="00A709C0">
      <w:pPr>
        <w:pStyle w:val="a3"/>
        <w:numPr>
          <w:ilvl w:val="0"/>
          <w:numId w:val="4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BEF">
        <w:rPr>
          <w:rFonts w:ascii="Times New Roman" w:hAnsi="Times New Roman" w:cs="Times New Roman"/>
          <w:sz w:val="28"/>
          <w:szCs w:val="28"/>
        </w:rPr>
        <w:t>Сделаны выводы и рекомендации</w:t>
      </w:r>
    </w:p>
    <w:p w:rsidR="00A709C0" w:rsidRPr="00B07BEF" w:rsidRDefault="00A709C0" w:rsidP="00A709C0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09C0" w:rsidRPr="00B07BEF" w:rsidRDefault="00A709C0" w:rsidP="00A709C0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09C0" w:rsidRDefault="00A709C0" w:rsidP="006B123C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28"/>
        </w:rPr>
      </w:pPr>
    </w:p>
    <w:p w:rsidR="00A709C0" w:rsidRDefault="00A709C0" w:rsidP="006B123C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28"/>
        </w:rPr>
      </w:pPr>
    </w:p>
    <w:p w:rsidR="00A709C0" w:rsidRDefault="00A709C0" w:rsidP="006B123C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28"/>
        </w:rPr>
      </w:pPr>
    </w:p>
    <w:p w:rsidR="00A709C0" w:rsidRDefault="00A709C0" w:rsidP="006B123C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28"/>
        </w:rPr>
      </w:pPr>
    </w:p>
    <w:p w:rsidR="00A709C0" w:rsidRDefault="00A709C0" w:rsidP="006B123C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28"/>
        </w:rPr>
      </w:pPr>
    </w:p>
    <w:p w:rsidR="00A709C0" w:rsidRDefault="00A709C0" w:rsidP="006B123C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28"/>
        </w:rPr>
      </w:pPr>
    </w:p>
    <w:p w:rsidR="00A709C0" w:rsidRDefault="00A709C0" w:rsidP="006B123C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28"/>
        </w:rPr>
      </w:pPr>
    </w:p>
    <w:p w:rsidR="00A709C0" w:rsidRDefault="00A709C0" w:rsidP="006B123C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28"/>
        </w:rPr>
      </w:pPr>
    </w:p>
    <w:p w:rsidR="00A709C0" w:rsidRDefault="00A709C0" w:rsidP="006B123C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28"/>
        </w:rPr>
      </w:pPr>
    </w:p>
    <w:p w:rsidR="00A709C0" w:rsidRDefault="00A709C0" w:rsidP="00A709C0">
      <w:pPr>
        <w:tabs>
          <w:tab w:val="left" w:pos="1455"/>
        </w:tabs>
        <w:rPr>
          <w:rFonts w:ascii="Times New Roman" w:hAnsi="Times New Roman" w:cs="Times New Roman"/>
          <w:b/>
          <w:sz w:val="28"/>
        </w:rPr>
      </w:pPr>
    </w:p>
    <w:p w:rsidR="004B021C" w:rsidRPr="006B123C" w:rsidRDefault="004B021C" w:rsidP="00A709C0">
      <w:pPr>
        <w:tabs>
          <w:tab w:val="left" w:pos="1455"/>
        </w:tabs>
        <w:jc w:val="center"/>
        <w:rPr>
          <w:rFonts w:ascii="Times New Roman" w:hAnsi="Times New Roman" w:cs="Times New Roman"/>
          <w:sz w:val="36"/>
          <w:szCs w:val="28"/>
        </w:rPr>
      </w:pPr>
      <w:r w:rsidRPr="006B123C">
        <w:rPr>
          <w:rFonts w:ascii="Times New Roman" w:hAnsi="Times New Roman" w:cs="Times New Roman"/>
          <w:b/>
          <w:sz w:val="28"/>
        </w:rPr>
        <w:t>Список использованной литературы</w:t>
      </w:r>
    </w:p>
    <w:p w:rsidR="004B021C" w:rsidRPr="00522E5A" w:rsidRDefault="004B021C" w:rsidP="004B021C">
      <w:pPr>
        <w:pStyle w:val="TNR"/>
        <w:numPr>
          <w:ilvl w:val="0"/>
          <w:numId w:val="15"/>
        </w:numPr>
        <w:ind w:left="-567" w:firstLine="283"/>
      </w:pPr>
      <w:r w:rsidRPr="00522E5A">
        <w:t xml:space="preserve">Федеральный закон Российской Федерации от 07.05.1998 г. №75–ФЗ «О негосударственных пенсионных фондах». </w:t>
      </w:r>
    </w:p>
    <w:p w:rsidR="004B021C" w:rsidRPr="00522E5A" w:rsidRDefault="004B021C" w:rsidP="004B021C">
      <w:pPr>
        <w:pStyle w:val="TNR"/>
        <w:numPr>
          <w:ilvl w:val="0"/>
          <w:numId w:val="15"/>
        </w:numPr>
        <w:ind w:left="-567" w:firstLine="283"/>
      </w:pPr>
      <w:r w:rsidRPr="00522E5A">
        <w:t xml:space="preserve">Федеральный закон Российской Федерации от 28.12.2013 г. №400–ФЗ «О страховых пенсиях». </w:t>
      </w:r>
    </w:p>
    <w:p w:rsidR="004B021C" w:rsidRPr="00522E5A" w:rsidRDefault="004B021C" w:rsidP="004B021C">
      <w:pPr>
        <w:pStyle w:val="TNR"/>
        <w:numPr>
          <w:ilvl w:val="0"/>
          <w:numId w:val="15"/>
        </w:numPr>
        <w:ind w:left="-567" w:firstLine="283"/>
      </w:pPr>
      <w:r w:rsidRPr="00522E5A">
        <w:t xml:space="preserve">Федеральный закон Российской Федерации от 28.12.2013 г. №424–ФЗ «О накопительной пенсии». </w:t>
      </w:r>
    </w:p>
    <w:p w:rsidR="004B021C" w:rsidRDefault="004B021C" w:rsidP="004B021C">
      <w:pPr>
        <w:pStyle w:val="TNR"/>
        <w:numPr>
          <w:ilvl w:val="0"/>
          <w:numId w:val="15"/>
        </w:numPr>
        <w:ind w:left="-567" w:firstLine="283"/>
      </w:pPr>
      <w:r w:rsidRPr="00522E5A">
        <w:t xml:space="preserve">Федеральный закон Российской Федерации от 24.07.2002 г. №111-ФЗ «Об инвестировании средств для финансирования накопительной пенсии в Российской Федерации». </w:t>
      </w:r>
    </w:p>
    <w:p w:rsidR="005136E8" w:rsidRPr="005136E8" w:rsidRDefault="005136E8" w:rsidP="005136E8">
      <w:pPr>
        <w:pStyle w:val="a3"/>
        <w:numPr>
          <w:ilvl w:val="0"/>
          <w:numId w:val="15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36E8">
        <w:rPr>
          <w:rFonts w:ascii="Times New Roman" w:hAnsi="Times New Roman" w:cs="Times New Roman"/>
          <w:sz w:val="28"/>
          <w:szCs w:val="28"/>
        </w:rPr>
        <w:t>Согласие. Негосударственный фонд - №1 по доходности в 2011 и 2012 г.</w:t>
      </w:r>
    </w:p>
    <w:p w:rsidR="005136E8" w:rsidRPr="005136E8" w:rsidRDefault="005136E8" w:rsidP="005136E8">
      <w:pPr>
        <w:pStyle w:val="a3"/>
        <w:numPr>
          <w:ilvl w:val="0"/>
          <w:numId w:val="15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36E8">
        <w:rPr>
          <w:rFonts w:ascii="Times New Roman" w:hAnsi="Times New Roman" w:cs="Times New Roman"/>
          <w:sz w:val="28"/>
          <w:szCs w:val="28"/>
        </w:rPr>
        <w:t>Демографический ежегодник России, М., Росстат, 2012 г.</w:t>
      </w:r>
    </w:p>
    <w:p w:rsidR="005136E8" w:rsidRPr="005136E8" w:rsidRDefault="005136E8" w:rsidP="005136E8">
      <w:pPr>
        <w:pStyle w:val="a3"/>
        <w:numPr>
          <w:ilvl w:val="0"/>
          <w:numId w:val="15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36E8">
        <w:rPr>
          <w:rFonts w:ascii="Times New Roman" w:hAnsi="Times New Roman" w:cs="Times New Roman"/>
          <w:sz w:val="28"/>
          <w:szCs w:val="28"/>
        </w:rPr>
        <w:t>Довгая О.В. О доходности накопительной части трудовой пенсии в негосударственном пенсионном фонде / Довгая О.В., Городилова А.Ю. // Финансы. – 2011. – № 3. – С. 57–60.</w:t>
      </w:r>
    </w:p>
    <w:p w:rsidR="005136E8" w:rsidRPr="005136E8" w:rsidRDefault="005136E8" w:rsidP="005136E8">
      <w:pPr>
        <w:pStyle w:val="a3"/>
        <w:numPr>
          <w:ilvl w:val="0"/>
          <w:numId w:val="15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36E8">
        <w:rPr>
          <w:rFonts w:ascii="Times New Roman" w:hAnsi="Times New Roman" w:cs="Times New Roman"/>
          <w:sz w:val="28"/>
          <w:szCs w:val="28"/>
        </w:rPr>
        <w:t xml:space="preserve">Зачем нужна дополнительная (негосударственная) пенсия [Электронный ресурс]. – Режим доступа: </w:t>
      </w:r>
      <w:hyperlink r:id="rId8" w:history="1">
        <w:r w:rsidRPr="005136E8">
          <w:rPr>
            <w:rFonts w:ascii="Times New Roman" w:hAnsi="Times New Roman" w:cs="Times New Roman"/>
            <w:sz w:val="28"/>
            <w:szCs w:val="28"/>
          </w:rPr>
          <w:t>http://www.npfopf.ru/?issue_id=31</w:t>
        </w:r>
      </w:hyperlink>
      <w:r w:rsidRPr="005136E8">
        <w:rPr>
          <w:rFonts w:ascii="Times New Roman" w:hAnsi="Times New Roman" w:cs="Times New Roman"/>
          <w:sz w:val="28"/>
          <w:szCs w:val="28"/>
        </w:rPr>
        <w:t>.</w:t>
      </w:r>
    </w:p>
    <w:p w:rsidR="005136E8" w:rsidRPr="005136E8" w:rsidRDefault="005136E8" w:rsidP="005136E8">
      <w:pPr>
        <w:pStyle w:val="a3"/>
        <w:numPr>
          <w:ilvl w:val="0"/>
          <w:numId w:val="15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36E8">
        <w:rPr>
          <w:rFonts w:ascii="Times New Roman" w:hAnsi="Times New Roman" w:cs="Times New Roman"/>
          <w:sz w:val="28"/>
          <w:szCs w:val="28"/>
        </w:rPr>
        <w:t>Бахарева О.В. Методологические подходы к формированию пенсионных активов в нег</w:t>
      </w:r>
      <w:r>
        <w:rPr>
          <w:rFonts w:ascii="Times New Roman" w:hAnsi="Times New Roman" w:cs="Times New Roman"/>
          <w:sz w:val="28"/>
          <w:szCs w:val="28"/>
        </w:rPr>
        <w:t>осударст</w:t>
      </w:r>
      <w:r w:rsidRPr="005136E8">
        <w:rPr>
          <w:rFonts w:ascii="Times New Roman" w:hAnsi="Times New Roman" w:cs="Times New Roman"/>
          <w:sz w:val="28"/>
          <w:szCs w:val="28"/>
        </w:rPr>
        <w:t>венном пенсионном фонде // Национальные интересы: приоритеты и безопасность. – 2011. – № 6. – С. 72–76.</w:t>
      </w:r>
    </w:p>
    <w:p w:rsidR="005136E8" w:rsidRPr="005136E8" w:rsidRDefault="005136E8" w:rsidP="005136E8">
      <w:pPr>
        <w:pStyle w:val="a3"/>
        <w:numPr>
          <w:ilvl w:val="0"/>
          <w:numId w:val="15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136E8">
        <w:rPr>
          <w:rFonts w:ascii="Times New Roman" w:hAnsi="Times New Roman" w:cs="Times New Roman"/>
          <w:sz w:val="28"/>
          <w:szCs w:val="28"/>
        </w:rPr>
        <w:t>Предложения по развитию пенсионной системы Российской Федерации [Электронный ресурс]. – Режим доступа: http://mfcmoscow.com/assets/files/analytics/ru_predloweniya_ekspertnogo_soveta_browura_aprel_2011.pdf.</w:t>
      </w:r>
    </w:p>
    <w:bookmarkEnd w:id="2"/>
    <w:p w:rsidR="005136E8" w:rsidRPr="00522E5A" w:rsidRDefault="005136E8" w:rsidP="005136E8">
      <w:pPr>
        <w:pStyle w:val="TNR"/>
        <w:ind w:left="-567" w:firstLine="283"/>
      </w:pPr>
    </w:p>
    <w:sectPr w:rsidR="005136E8" w:rsidRPr="00522E5A" w:rsidSect="00CC30E8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pgNumType w:fmt="numberInDash"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BB4" w:rsidRDefault="00102BB4" w:rsidP="00B07BEF">
      <w:pPr>
        <w:spacing w:after="0" w:line="240" w:lineRule="auto"/>
      </w:pPr>
      <w:r>
        <w:separator/>
      </w:r>
    </w:p>
  </w:endnote>
  <w:endnote w:type="continuationSeparator" w:id="0">
    <w:p w:rsidR="00102BB4" w:rsidRDefault="00102BB4" w:rsidP="00B0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120364"/>
      <w:docPartObj>
        <w:docPartGallery w:val="Page Numbers (Bottom of Page)"/>
        <w:docPartUnique/>
      </w:docPartObj>
    </w:sdtPr>
    <w:sdtEndPr/>
    <w:sdtContent>
      <w:p w:rsidR="002E7DED" w:rsidRDefault="0038146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- 3 -</w:t>
        </w:r>
        <w:r>
          <w:rPr>
            <w:noProof/>
          </w:rPr>
          <w:fldChar w:fldCharType="end"/>
        </w:r>
      </w:p>
    </w:sdtContent>
  </w:sdt>
  <w:p w:rsidR="002E7DED" w:rsidRDefault="002E7DE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459124"/>
      <w:docPartObj>
        <w:docPartGallery w:val="Page Numbers (Bottom of Page)"/>
        <w:docPartUnique/>
      </w:docPartObj>
    </w:sdtPr>
    <w:sdtEndPr/>
    <w:sdtContent>
      <w:p w:rsidR="002E7DED" w:rsidRDefault="0038146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2E7DED" w:rsidRDefault="002E7DE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BB4" w:rsidRDefault="00102BB4" w:rsidP="00B07BEF">
      <w:pPr>
        <w:spacing w:after="0" w:line="240" w:lineRule="auto"/>
      </w:pPr>
      <w:r>
        <w:separator/>
      </w:r>
    </w:p>
  </w:footnote>
  <w:footnote w:type="continuationSeparator" w:id="0">
    <w:p w:rsidR="00102BB4" w:rsidRDefault="00102BB4" w:rsidP="00B07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0F8D"/>
    <w:multiLevelType w:val="hybridMultilevel"/>
    <w:tmpl w:val="E28CC77C"/>
    <w:lvl w:ilvl="0" w:tplc="5F48A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D3074"/>
    <w:multiLevelType w:val="hybridMultilevel"/>
    <w:tmpl w:val="FE0CC9EA"/>
    <w:lvl w:ilvl="0" w:tplc="F9389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0C532D"/>
    <w:multiLevelType w:val="hybridMultilevel"/>
    <w:tmpl w:val="3B1622E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A870739"/>
    <w:multiLevelType w:val="hybridMultilevel"/>
    <w:tmpl w:val="6B6C997E"/>
    <w:lvl w:ilvl="0" w:tplc="1F16E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5D6C00"/>
    <w:multiLevelType w:val="hybridMultilevel"/>
    <w:tmpl w:val="35240A8E"/>
    <w:lvl w:ilvl="0" w:tplc="E5E082C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BB4FBA"/>
    <w:multiLevelType w:val="hybridMultilevel"/>
    <w:tmpl w:val="8DDEFA82"/>
    <w:lvl w:ilvl="0" w:tplc="05783064">
      <w:start w:val="1"/>
      <w:numFmt w:val="decimal"/>
      <w:lvlText w:val="%1.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21628CE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6A8AA46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EF618FA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102C38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52444B6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A25894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8B0D1B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B668F84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7F2EFB"/>
    <w:multiLevelType w:val="hybridMultilevel"/>
    <w:tmpl w:val="352AFC20"/>
    <w:lvl w:ilvl="0" w:tplc="1AC4451E">
      <w:start w:val="1"/>
      <w:numFmt w:val="decimal"/>
      <w:lvlText w:val="%1.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F401AC2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5DC43BC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2D6B42C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5102CD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A88EAFC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3EA1FC2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4969232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1346296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B5595F"/>
    <w:multiLevelType w:val="hybridMultilevel"/>
    <w:tmpl w:val="3A52B27C"/>
    <w:lvl w:ilvl="0" w:tplc="1F16E3F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1D9E7301"/>
    <w:multiLevelType w:val="multilevel"/>
    <w:tmpl w:val="9FD88E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11736F8"/>
    <w:multiLevelType w:val="hybridMultilevel"/>
    <w:tmpl w:val="29805AF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53F6F47"/>
    <w:multiLevelType w:val="hybridMultilevel"/>
    <w:tmpl w:val="79AA1466"/>
    <w:lvl w:ilvl="0" w:tplc="F9389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FD1BF0"/>
    <w:multiLevelType w:val="hybridMultilevel"/>
    <w:tmpl w:val="E2208700"/>
    <w:lvl w:ilvl="0" w:tplc="8ABA893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F709F5"/>
    <w:multiLevelType w:val="hybridMultilevel"/>
    <w:tmpl w:val="561A82BC"/>
    <w:lvl w:ilvl="0" w:tplc="F9389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AE458F"/>
    <w:multiLevelType w:val="multilevel"/>
    <w:tmpl w:val="82206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4" w15:restartNumberingAfterBreak="0">
    <w:nsid w:val="4B776865"/>
    <w:multiLevelType w:val="hybridMultilevel"/>
    <w:tmpl w:val="23FE3CF8"/>
    <w:lvl w:ilvl="0" w:tplc="673E5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810B92"/>
    <w:multiLevelType w:val="multilevel"/>
    <w:tmpl w:val="055853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6" w15:restartNumberingAfterBreak="0">
    <w:nsid w:val="504351DC"/>
    <w:multiLevelType w:val="hybridMultilevel"/>
    <w:tmpl w:val="4F945B56"/>
    <w:lvl w:ilvl="0" w:tplc="F9389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41561B3"/>
    <w:multiLevelType w:val="hybridMultilevel"/>
    <w:tmpl w:val="11A89A1E"/>
    <w:lvl w:ilvl="0" w:tplc="3D58E1D4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4592F84"/>
    <w:multiLevelType w:val="hybridMultilevel"/>
    <w:tmpl w:val="4114F3E0"/>
    <w:lvl w:ilvl="0" w:tplc="06EC0934">
      <w:start w:val="1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BAB6AE3"/>
    <w:multiLevelType w:val="hybridMultilevel"/>
    <w:tmpl w:val="8D94CAE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61DD17B3"/>
    <w:multiLevelType w:val="multilevel"/>
    <w:tmpl w:val="634A6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A755B1E"/>
    <w:multiLevelType w:val="hybridMultilevel"/>
    <w:tmpl w:val="9946A178"/>
    <w:lvl w:ilvl="0" w:tplc="252209B4">
      <w:start w:val="1"/>
      <w:numFmt w:val="decimal"/>
      <w:lvlText w:val="%1.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6060C2E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02A4504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9645902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C3087F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7909DFC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D50649E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B0E4ED0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0A0EB0E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ADF4E62"/>
    <w:multiLevelType w:val="hybridMultilevel"/>
    <w:tmpl w:val="9A40320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4CF0031"/>
    <w:multiLevelType w:val="hybridMultilevel"/>
    <w:tmpl w:val="70923570"/>
    <w:lvl w:ilvl="0" w:tplc="06EC093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9"/>
  </w:num>
  <w:num w:numId="5">
    <w:abstractNumId w:val="0"/>
  </w:num>
  <w:num w:numId="6">
    <w:abstractNumId w:val="20"/>
  </w:num>
  <w:num w:numId="7">
    <w:abstractNumId w:val="2"/>
  </w:num>
  <w:num w:numId="8">
    <w:abstractNumId w:val="22"/>
  </w:num>
  <w:num w:numId="9">
    <w:abstractNumId w:val="18"/>
  </w:num>
  <w:num w:numId="10">
    <w:abstractNumId w:val="17"/>
  </w:num>
  <w:num w:numId="11">
    <w:abstractNumId w:val="16"/>
  </w:num>
  <w:num w:numId="12">
    <w:abstractNumId w:val="23"/>
  </w:num>
  <w:num w:numId="13">
    <w:abstractNumId w:val="1"/>
  </w:num>
  <w:num w:numId="14">
    <w:abstractNumId w:val="12"/>
  </w:num>
  <w:num w:numId="15">
    <w:abstractNumId w:val="11"/>
  </w:num>
  <w:num w:numId="16">
    <w:abstractNumId w:val="8"/>
  </w:num>
  <w:num w:numId="17">
    <w:abstractNumId w:val="21"/>
  </w:num>
  <w:num w:numId="18">
    <w:abstractNumId w:val="5"/>
  </w:num>
  <w:num w:numId="19">
    <w:abstractNumId w:val="6"/>
  </w:num>
  <w:num w:numId="20">
    <w:abstractNumId w:val="10"/>
  </w:num>
  <w:num w:numId="21">
    <w:abstractNumId w:val="4"/>
  </w:num>
  <w:num w:numId="22">
    <w:abstractNumId w:val="9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6B1"/>
    <w:rsid w:val="0004013D"/>
    <w:rsid w:val="0004716C"/>
    <w:rsid w:val="000614B9"/>
    <w:rsid w:val="00075E5D"/>
    <w:rsid w:val="00082458"/>
    <w:rsid w:val="000A0FAC"/>
    <w:rsid w:val="000A4D45"/>
    <w:rsid w:val="000E7DDC"/>
    <w:rsid w:val="00102B7C"/>
    <w:rsid w:val="00102BB4"/>
    <w:rsid w:val="00124CD1"/>
    <w:rsid w:val="001F791B"/>
    <w:rsid w:val="00205499"/>
    <w:rsid w:val="00241344"/>
    <w:rsid w:val="002C589C"/>
    <w:rsid w:val="002C7E14"/>
    <w:rsid w:val="002E4C4A"/>
    <w:rsid w:val="002E7DED"/>
    <w:rsid w:val="002F720A"/>
    <w:rsid w:val="0030254F"/>
    <w:rsid w:val="003045C0"/>
    <w:rsid w:val="00315DF0"/>
    <w:rsid w:val="00317EC2"/>
    <w:rsid w:val="00330CD2"/>
    <w:rsid w:val="00334982"/>
    <w:rsid w:val="003526AC"/>
    <w:rsid w:val="00364D0C"/>
    <w:rsid w:val="00367839"/>
    <w:rsid w:val="00375BE3"/>
    <w:rsid w:val="00381461"/>
    <w:rsid w:val="00391311"/>
    <w:rsid w:val="003960C9"/>
    <w:rsid w:val="003A3ED7"/>
    <w:rsid w:val="003B64AF"/>
    <w:rsid w:val="003D75BC"/>
    <w:rsid w:val="003E36A2"/>
    <w:rsid w:val="003F2408"/>
    <w:rsid w:val="003F76B1"/>
    <w:rsid w:val="00426757"/>
    <w:rsid w:val="00443F27"/>
    <w:rsid w:val="00464C61"/>
    <w:rsid w:val="004961F4"/>
    <w:rsid w:val="004A110D"/>
    <w:rsid w:val="004B021C"/>
    <w:rsid w:val="004C0299"/>
    <w:rsid w:val="004D65CA"/>
    <w:rsid w:val="004E6F6A"/>
    <w:rsid w:val="004F2689"/>
    <w:rsid w:val="005136E8"/>
    <w:rsid w:val="00515C28"/>
    <w:rsid w:val="00523D1C"/>
    <w:rsid w:val="00550DB3"/>
    <w:rsid w:val="00556747"/>
    <w:rsid w:val="005943F8"/>
    <w:rsid w:val="005F6AF1"/>
    <w:rsid w:val="0065591B"/>
    <w:rsid w:val="00657C37"/>
    <w:rsid w:val="00672675"/>
    <w:rsid w:val="006859F9"/>
    <w:rsid w:val="00693EDF"/>
    <w:rsid w:val="006B123C"/>
    <w:rsid w:val="006C7062"/>
    <w:rsid w:val="006E75E9"/>
    <w:rsid w:val="00711B31"/>
    <w:rsid w:val="007309C8"/>
    <w:rsid w:val="0073540A"/>
    <w:rsid w:val="0073665A"/>
    <w:rsid w:val="00750BA1"/>
    <w:rsid w:val="00757F53"/>
    <w:rsid w:val="00764382"/>
    <w:rsid w:val="00787996"/>
    <w:rsid w:val="00790726"/>
    <w:rsid w:val="007917C8"/>
    <w:rsid w:val="00797A38"/>
    <w:rsid w:val="008102B2"/>
    <w:rsid w:val="0081404E"/>
    <w:rsid w:val="008214EA"/>
    <w:rsid w:val="008239E3"/>
    <w:rsid w:val="00830876"/>
    <w:rsid w:val="00831029"/>
    <w:rsid w:val="00856EDE"/>
    <w:rsid w:val="008704ED"/>
    <w:rsid w:val="0087474E"/>
    <w:rsid w:val="00886950"/>
    <w:rsid w:val="008C220A"/>
    <w:rsid w:val="008E5530"/>
    <w:rsid w:val="00906B1E"/>
    <w:rsid w:val="00910BE2"/>
    <w:rsid w:val="009261D6"/>
    <w:rsid w:val="00942414"/>
    <w:rsid w:val="00955801"/>
    <w:rsid w:val="00980029"/>
    <w:rsid w:val="0098230E"/>
    <w:rsid w:val="00994E2A"/>
    <w:rsid w:val="009A23C1"/>
    <w:rsid w:val="009B69F4"/>
    <w:rsid w:val="009C1E5E"/>
    <w:rsid w:val="009C4245"/>
    <w:rsid w:val="009F533D"/>
    <w:rsid w:val="00A03142"/>
    <w:rsid w:val="00A373A6"/>
    <w:rsid w:val="00A44F4A"/>
    <w:rsid w:val="00A709C0"/>
    <w:rsid w:val="00A712F7"/>
    <w:rsid w:val="00A87807"/>
    <w:rsid w:val="00A931B7"/>
    <w:rsid w:val="00AC779F"/>
    <w:rsid w:val="00AD6D0A"/>
    <w:rsid w:val="00AE109B"/>
    <w:rsid w:val="00AE14F7"/>
    <w:rsid w:val="00AE342A"/>
    <w:rsid w:val="00B0750B"/>
    <w:rsid w:val="00B07BEF"/>
    <w:rsid w:val="00B07E88"/>
    <w:rsid w:val="00B675E0"/>
    <w:rsid w:val="00B8725E"/>
    <w:rsid w:val="00BA4D26"/>
    <w:rsid w:val="00C83BA6"/>
    <w:rsid w:val="00CC30E8"/>
    <w:rsid w:val="00CC3A9A"/>
    <w:rsid w:val="00CF44A9"/>
    <w:rsid w:val="00D4018E"/>
    <w:rsid w:val="00D96649"/>
    <w:rsid w:val="00DB4B11"/>
    <w:rsid w:val="00DD1914"/>
    <w:rsid w:val="00DD3262"/>
    <w:rsid w:val="00DE00EB"/>
    <w:rsid w:val="00E03B9B"/>
    <w:rsid w:val="00E03E73"/>
    <w:rsid w:val="00E1567E"/>
    <w:rsid w:val="00E42EF2"/>
    <w:rsid w:val="00E77C38"/>
    <w:rsid w:val="00E947EB"/>
    <w:rsid w:val="00E96013"/>
    <w:rsid w:val="00EA2068"/>
    <w:rsid w:val="00EA47EA"/>
    <w:rsid w:val="00EB4EA1"/>
    <w:rsid w:val="00EF002B"/>
    <w:rsid w:val="00EF7198"/>
    <w:rsid w:val="00F07042"/>
    <w:rsid w:val="00F253E7"/>
    <w:rsid w:val="00F357C7"/>
    <w:rsid w:val="00F4402A"/>
    <w:rsid w:val="00F55246"/>
    <w:rsid w:val="00F90BE4"/>
    <w:rsid w:val="00F94399"/>
    <w:rsid w:val="00F9503E"/>
    <w:rsid w:val="00FB547C"/>
    <w:rsid w:val="00FC0127"/>
    <w:rsid w:val="00FC163B"/>
    <w:rsid w:val="00FC1E53"/>
    <w:rsid w:val="00FC1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91B5"/>
  <w15:docId w15:val="{39D1C89D-98C8-467F-A3B8-A78090F9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C4245"/>
  </w:style>
  <w:style w:type="paragraph" w:styleId="1">
    <w:name w:val="heading 1"/>
    <w:basedOn w:val="a"/>
    <w:next w:val="a"/>
    <w:link w:val="10"/>
    <w:uiPriority w:val="9"/>
    <w:qFormat/>
    <w:rsid w:val="003B64AF"/>
    <w:pPr>
      <w:keepNext/>
      <w:keepLines/>
      <w:widowControl w:val="0"/>
      <w:autoSpaceDE w:val="0"/>
      <w:autoSpaceDN w:val="0"/>
      <w:adjustRightInd w:val="0"/>
      <w:spacing w:before="240" w:after="0" w:line="367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B64AF"/>
    <w:pPr>
      <w:keepNext/>
      <w:widowControl w:val="0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6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5C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3E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64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B64AF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3B64AF"/>
    <w:rPr>
      <w:rFonts w:cs="Times New Roman"/>
      <w:b/>
    </w:rPr>
  </w:style>
  <w:style w:type="character" w:styleId="a6">
    <w:name w:val="Emphasis"/>
    <w:basedOn w:val="a0"/>
    <w:uiPriority w:val="20"/>
    <w:qFormat/>
    <w:rsid w:val="003B64AF"/>
    <w:rPr>
      <w:rFonts w:cs="Times New Roman"/>
      <w:i/>
    </w:rPr>
  </w:style>
  <w:style w:type="table" w:styleId="a7">
    <w:name w:val="Table Grid"/>
    <w:basedOn w:val="a1"/>
    <w:uiPriority w:val="59"/>
    <w:rsid w:val="003B64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E7DDC"/>
    <w:rPr>
      <w:color w:val="0000FF"/>
      <w:u w:val="single"/>
    </w:rPr>
  </w:style>
  <w:style w:type="paragraph" w:customStyle="1" w:styleId="a9">
    <w:name w:val="а"/>
    <w:basedOn w:val="a"/>
    <w:link w:val="aa"/>
    <w:rsid w:val="00124CD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а Знак"/>
    <w:link w:val="a9"/>
    <w:rsid w:val="00124C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аа"/>
    <w:basedOn w:val="a9"/>
    <w:rsid w:val="00124CD1"/>
  </w:style>
  <w:style w:type="paragraph" w:styleId="ac">
    <w:name w:val="header"/>
    <w:basedOn w:val="a"/>
    <w:link w:val="ad"/>
    <w:uiPriority w:val="99"/>
    <w:unhideWhenUsed/>
    <w:rsid w:val="00B07BE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07BEF"/>
  </w:style>
  <w:style w:type="paragraph" w:styleId="ae">
    <w:name w:val="footer"/>
    <w:basedOn w:val="a"/>
    <w:link w:val="af"/>
    <w:uiPriority w:val="99"/>
    <w:unhideWhenUsed/>
    <w:rsid w:val="00B07BE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07BEF"/>
  </w:style>
  <w:style w:type="paragraph" w:styleId="af0">
    <w:name w:val="footnote text"/>
    <w:basedOn w:val="a"/>
    <w:link w:val="af1"/>
    <w:uiPriority w:val="99"/>
    <w:semiHidden/>
    <w:unhideWhenUsed/>
    <w:rsid w:val="0065591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5591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5591B"/>
    <w:rPr>
      <w:vertAlign w:val="superscript"/>
    </w:rPr>
  </w:style>
  <w:style w:type="paragraph" w:styleId="af3">
    <w:name w:val="TOC Heading"/>
    <w:basedOn w:val="1"/>
    <w:next w:val="a"/>
    <w:uiPriority w:val="39"/>
    <w:unhideWhenUsed/>
    <w:qFormat/>
    <w:rsid w:val="000A0FAC"/>
    <w:pPr>
      <w:widowControl/>
      <w:autoSpaceDE/>
      <w:autoSpaceDN/>
      <w:adjustRightInd/>
      <w:spacing w:line="259" w:lineRule="auto"/>
      <w:ind w:firstLine="0"/>
      <w:jc w:val="left"/>
      <w:outlineLvl w:val="9"/>
    </w:pPr>
    <w:rPr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0A0FAC"/>
    <w:pPr>
      <w:spacing w:after="100"/>
    </w:pPr>
  </w:style>
  <w:style w:type="paragraph" w:styleId="af4">
    <w:name w:val="Balloon Text"/>
    <w:basedOn w:val="a"/>
    <w:link w:val="af5"/>
    <w:uiPriority w:val="99"/>
    <w:semiHidden/>
    <w:unhideWhenUsed/>
    <w:rsid w:val="00FC1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C1E53"/>
    <w:rPr>
      <w:rFonts w:ascii="Tahoma" w:hAnsi="Tahoma" w:cs="Tahoma"/>
      <w:sz w:val="16"/>
      <w:szCs w:val="16"/>
    </w:rPr>
  </w:style>
  <w:style w:type="paragraph" w:customStyle="1" w:styleId="TNR">
    <w:name w:val="TNR"/>
    <w:basedOn w:val="a"/>
    <w:link w:val="TNR0"/>
    <w:qFormat/>
    <w:rsid w:val="000A4D45"/>
    <w:pPr>
      <w:suppressAutoHyphens/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TNR0">
    <w:name w:val="TNR Знак"/>
    <w:basedOn w:val="a0"/>
    <w:link w:val="TNR"/>
    <w:rsid w:val="000A4D45"/>
    <w:rPr>
      <w:rFonts w:ascii="Times New Roman" w:hAnsi="Times New Roman" w:cs="Times New Roman"/>
      <w:sz w:val="28"/>
      <w:szCs w:val="28"/>
    </w:rPr>
  </w:style>
  <w:style w:type="table" w:customStyle="1" w:styleId="TNRtable">
    <w:name w:val="TNR_table"/>
    <w:basedOn w:val="a1"/>
    <w:next w:val="a7"/>
    <w:rsid w:val="0087474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87474E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2ArialNarrow8pt">
    <w:name w:val="Основной текст (2) + Arial Narrow;8 pt"/>
    <w:basedOn w:val="21"/>
    <w:rsid w:val="0087474E"/>
    <w:rPr>
      <w:rFonts w:ascii="Arial Narrow" w:eastAsia="Arial Narrow" w:hAnsi="Arial Narrow" w:cs="Arial Narrow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7474E"/>
    <w:pPr>
      <w:widowControl w:val="0"/>
      <w:shd w:val="clear" w:color="auto" w:fill="FFFFFF"/>
      <w:spacing w:after="120" w:line="0" w:lineRule="atLeast"/>
      <w:ind w:hanging="580"/>
    </w:pPr>
    <w:rPr>
      <w:rFonts w:ascii="Sylfaen" w:eastAsia="Sylfaen" w:hAnsi="Sylfaen" w:cs="Sylfaen"/>
      <w:sz w:val="20"/>
      <w:szCs w:val="20"/>
    </w:rPr>
  </w:style>
  <w:style w:type="character" w:customStyle="1" w:styleId="2ArialNarrow75pt">
    <w:name w:val="Основной текст (2) + Arial Narrow;7;5 pt;Полужирный"/>
    <w:basedOn w:val="21"/>
    <w:rsid w:val="0087474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Narrow8pt0">
    <w:name w:val="Основной текст (2) + Arial Narrow;8 pt;Полужирный;Курсив"/>
    <w:basedOn w:val="21"/>
    <w:rsid w:val="0087474E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5136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5136E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fopf.ru/?issue_id=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BDCF7-98EE-4475-BA79-7D7283A9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Любимская</dc:creator>
  <cp:lastModifiedBy>Елена Любимская</cp:lastModifiedBy>
  <cp:revision>3</cp:revision>
  <cp:lastPrinted>2016-05-04T17:48:00Z</cp:lastPrinted>
  <dcterms:created xsi:type="dcterms:W3CDTF">2016-05-08T15:15:00Z</dcterms:created>
  <dcterms:modified xsi:type="dcterms:W3CDTF">2016-05-08T15:16:00Z</dcterms:modified>
</cp:coreProperties>
</file>