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4B" w:rsidRDefault="00583F92">
      <w:pPr>
        <w:rPr>
          <w:sz w:val="32"/>
          <w:szCs w:val="32"/>
        </w:rPr>
      </w:pPr>
      <w:r w:rsidRPr="00583F92">
        <w:rPr>
          <w:sz w:val="32"/>
          <w:szCs w:val="32"/>
        </w:rPr>
        <w:t>1.</w:t>
      </w:r>
      <w:r>
        <w:rPr>
          <w:sz w:val="32"/>
          <w:szCs w:val="32"/>
        </w:rPr>
        <w:t>Индикаторные диаграммы для несжимаемой жидкости в пористом и трещинном пластах</w:t>
      </w:r>
    </w:p>
    <w:p w:rsidR="00583F92" w:rsidRDefault="00583F9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583F92">
        <w:rPr>
          <w:sz w:val="32"/>
          <w:szCs w:val="32"/>
        </w:rPr>
        <w:t>.</w:t>
      </w:r>
      <w:r>
        <w:rPr>
          <w:sz w:val="32"/>
          <w:szCs w:val="32"/>
        </w:rPr>
        <w:t>Определение пористости</w:t>
      </w:r>
      <w:proofErr w:type="gramStart"/>
      <w:r>
        <w:rPr>
          <w:sz w:val="32"/>
          <w:szCs w:val="32"/>
        </w:rPr>
        <w:t xml:space="preserve"> </w:t>
      </w:r>
      <w:r w:rsidRPr="00583F92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проницаемости и насыщенности нефтяного пласта</w:t>
      </w:r>
    </w:p>
    <w:p w:rsidR="00583F92" w:rsidRPr="00583F92" w:rsidRDefault="00583F92">
      <w:pPr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lang w:val="en-US"/>
        </w:rPr>
        <w:t>.</w:t>
      </w:r>
      <w:r>
        <w:rPr>
          <w:sz w:val="32"/>
          <w:szCs w:val="32"/>
        </w:rPr>
        <w:t>Массовая растворимость газа в жидкости</w:t>
      </w:r>
      <w:bookmarkStart w:id="0" w:name="_GoBack"/>
      <w:bookmarkEnd w:id="0"/>
    </w:p>
    <w:sectPr w:rsidR="00583F92" w:rsidRPr="005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BA"/>
    <w:rsid w:val="00583F92"/>
    <w:rsid w:val="0082404B"/>
    <w:rsid w:val="00D6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2016-11-08T12:14:00Z</dcterms:created>
  <dcterms:modified xsi:type="dcterms:W3CDTF">2016-11-08T12:20:00Z</dcterms:modified>
</cp:coreProperties>
</file>