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F" w:rsidRDefault="008A0EA5">
      <w:pPr>
        <w:spacing w:after="22" w:line="259" w:lineRule="auto"/>
        <w:ind w:left="175" w:right="0" w:firstLine="0"/>
        <w:jc w:val="center"/>
      </w:pPr>
      <w:r>
        <w:rPr>
          <w:b/>
        </w:rPr>
        <w:t xml:space="preserve">1. Общие положения по выполнению контрольной работы </w:t>
      </w:r>
    </w:p>
    <w:p w:rsidR="003B228F" w:rsidRDefault="008A0EA5">
      <w:pPr>
        <w:spacing w:after="26" w:line="259" w:lineRule="auto"/>
        <w:ind w:left="200" w:right="0" w:firstLine="0"/>
        <w:jc w:val="left"/>
      </w:pPr>
      <w:r>
        <w:t xml:space="preserve"> </w:t>
      </w:r>
    </w:p>
    <w:p w:rsidR="003B228F" w:rsidRDefault="008A0EA5">
      <w:pPr>
        <w:ind w:right="11"/>
      </w:pPr>
      <w:r>
        <w:rPr>
          <w:b/>
        </w:rPr>
        <w:t>Целью</w:t>
      </w:r>
      <w:r>
        <w:t xml:space="preserve"> выполнения контрольной работы, как важной части учебного процесса, является закрепление знаний, полученных в процессе лекционных, практических и самостоятельных занятий, а также выработка навыков их практического применения.  </w:t>
      </w:r>
    </w:p>
    <w:p w:rsidR="003B228F" w:rsidRDefault="008A0EA5">
      <w:pPr>
        <w:spacing w:after="131" w:line="259" w:lineRule="auto"/>
        <w:ind w:left="585" w:right="11" w:firstLine="0"/>
      </w:pPr>
      <w:r>
        <w:t xml:space="preserve">Контрольная работа включает два теоретических вопроса и тест. </w:t>
      </w:r>
    </w:p>
    <w:p w:rsidR="003B228F" w:rsidRDefault="008A0EA5">
      <w:pPr>
        <w:ind w:right="11"/>
      </w:pPr>
      <w:r>
        <w:t xml:space="preserve">При ответе на теоретические вопросы следует приводить примеры из практики работы организации, где трудится студент; статистические данные по Российской Федерации; использовать современные нормативно-правовые документы в области управленческих отношений. </w:t>
      </w:r>
    </w:p>
    <w:p w:rsidR="003B228F" w:rsidRDefault="008A0EA5">
      <w:pPr>
        <w:spacing w:after="129"/>
        <w:ind w:right="11"/>
      </w:pPr>
      <w:r>
        <w:t xml:space="preserve">Студентам необходимо грамотно, в развернутой форме, аргументировано и, по возможности, с примерами ответить на содержащиеся в варианте вопросы и выполнить предложенные тесты. При этом студенты могут пользоваться </w:t>
      </w:r>
      <w:r w:rsidRPr="00FD0DA4">
        <w:rPr>
          <w:spacing w:val="-6"/>
        </w:rPr>
        <w:t xml:space="preserve">конспектом лекций, а также рекомендованной преподавателем </w:t>
      </w:r>
      <w:proofErr w:type="spellStart"/>
      <w:r w:rsidRPr="00FD0DA4">
        <w:rPr>
          <w:spacing w:val="-6"/>
        </w:rPr>
        <w:t>учебнометодической</w:t>
      </w:r>
      <w:proofErr w:type="spellEnd"/>
      <w:r>
        <w:t xml:space="preserve"> литературой. </w:t>
      </w:r>
      <w:bookmarkStart w:id="0" w:name="_GoBack"/>
      <w:bookmarkEnd w:id="0"/>
    </w:p>
    <w:p w:rsidR="003B228F" w:rsidRDefault="008A0EA5">
      <w:pPr>
        <w:ind w:right="11"/>
      </w:pPr>
      <w:r>
        <w:t xml:space="preserve">Контрольная работа должна быть аккуратно оформлена, иметь поля для замечаний рецензента. Она должна быть подписана студентом с указанием даты ее исполнения. </w:t>
      </w:r>
    </w:p>
    <w:p w:rsidR="003B228F" w:rsidRDefault="008A0EA5">
      <w:pPr>
        <w:ind w:left="5" w:right="11"/>
      </w:pPr>
      <w:r>
        <w:rPr>
          <w:b/>
        </w:rPr>
        <w:t xml:space="preserve">Оформление работы. </w:t>
      </w:r>
      <w:r>
        <w:t xml:space="preserve">Контрольная работа должна быть набрана на компьютере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шрифта 14, через 1,5 интервала), напечатана на стандартных листах белой бумаги формата А4 с полями 2-3 см для замечаний рецензента. Страницы работы следует пронумеровать. </w:t>
      </w:r>
    </w:p>
    <w:p w:rsidR="003B228F" w:rsidRDefault="008A0EA5">
      <w:pPr>
        <w:ind w:left="5" w:right="11"/>
      </w:pPr>
      <w:r>
        <w:t xml:space="preserve">Объем работы не должен превышать 20 страниц набранного на компьютере текста. В конце работы обязательно приводится список использованной литературы (в алфавитном порядке) с выходными данными (место издания, издательство, год издания). Положительно оценивается иллюстрация материалов работы таблицами, схемами, графиками и диаграммами. </w:t>
      </w:r>
    </w:p>
    <w:p w:rsidR="008A0EA5" w:rsidRDefault="008A0EA5">
      <w:pPr>
        <w:spacing w:after="0" w:line="259" w:lineRule="auto"/>
        <w:ind w:left="10" w:right="8" w:hanging="10"/>
        <w:jc w:val="right"/>
        <w:sectPr w:rsidR="008A0EA5">
          <w:pgSz w:w="11900" w:h="16840"/>
          <w:pgMar w:top="1195" w:right="1109" w:bottom="720" w:left="1132" w:header="720" w:footer="720" w:gutter="0"/>
          <w:cols w:space="720"/>
        </w:sectPr>
      </w:pPr>
    </w:p>
    <w:p w:rsidR="003B228F" w:rsidRDefault="008A0EA5">
      <w:pPr>
        <w:spacing w:after="133" w:line="259" w:lineRule="auto"/>
        <w:ind w:left="28" w:right="49" w:hanging="10"/>
        <w:jc w:val="center"/>
      </w:pPr>
      <w:r>
        <w:rPr>
          <w:b/>
        </w:rPr>
        <w:lastRenderedPageBreak/>
        <w:t xml:space="preserve">2. Варианты контрольной работы  </w:t>
      </w:r>
    </w:p>
    <w:p w:rsidR="003B228F" w:rsidRDefault="008A0EA5">
      <w:pPr>
        <w:spacing w:after="131" w:line="259" w:lineRule="auto"/>
        <w:ind w:left="89" w:right="0" w:firstLine="0"/>
        <w:jc w:val="center"/>
      </w:pPr>
      <w:r>
        <w:rPr>
          <w:b/>
        </w:rPr>
        <w:t xml:space="preserve"> </w:t>
      </w:r>
    </w:p>
    <w:p w:rsidR="003B228F" w:rsidRDefault="008A0EA5">
      <w:pPr>
        <w:spacing w:after="133" w:line="259" w:lineRule="auto"/>
        <w:ind w:left="28" w:right="0" w:hanging="10"/>
        <w:jc w:val="center"/>
      </w:pPr>
      <w:r>
        <w:rPr>
          <w:b/>
        </w:rPr>
        <w:t xml:space="preserve">Вариант 1 </w:t>
      </w:r>
    </w:p>
    <w:p w:rsidR="003B228F" w:rsidRDefault="008A0EA5">
      <w:pPr>
        <w:spacing w:after="126" w:line="259" w:lineRule="auto"/>
        <w:ind w:left="89" w:right="0" w:firstLine="0"/>
        <w:jc w:val="center"/>
      </w:pPr>
      <w:r>
        <w:rPr>
          <w:b/>
        </w:rPr>
        <w:t xml:space="preserve"> </w:t>
      </w:r>
    </w:p>
    <w:p w:rsidR="003B228F" w:rsidRDefault="008A0EA5">
      <w:pPr>
        <w:numPr>
          <w:ilvl w:val="0"/>
          <w:numId w:val="1"/>
        </w:numPr>
        <w:ind w:right="11"/>
      </w:pPr>
      <w:r>
        <w:t xml:space="preserve">Управление проектами как специфический вид управления: цели, задачи и особенности.  </w:t>
      </w:r>
    </w:p>
    <w:p w:rsidR="003B228F" w:rsidRDefault="008A0EA5">
      <w:pPr>
        <w:numPr>
          <w:ilvl w:val="0"/>
          <w:numId w:val="1"/>
        </w:numPr>
        <w:ind w:right="11"/>
      </w:pPr>
      <w:r>
        <w:t xml:space="preserve">Завершение проекта: характеристика этапов завершения и эффективных форм выхода из проекта. </w:t>
      </w:r>
    </w:p>
    <w:p w:rsidR="003B228F" w:rsidRDefault="008A0EA5">
      <w:pPr>
        <w:spacing w:after="135" w:line="259" w:lineRule="auto"/>
        <w:ind w:left="567" w:right="0" w:firstLine="0"/>
        <w:jc w:val="left"/>
      </w:pPr>
      <w:r>
        <w:rPr>
          <w:b/>
          <w:i/>
        </w:rPr>
        <w:t xml:space="preserve"> </w:t>
      </w:r>
    </w:p>
    <w:p w:rsidR="003B228F" w:rsidRDefault="008A0EA5">
      <w:pPr>
        <w:ind w:left="585" w:right="2471" w:firstLine="0"/>
      </w:pPr>
      <w:r>
        <w:rPr>
          <w:b/>
          <w:i/>
        </w:rPr>
        <w:t>Тесты</w:t>
      </w:r>
      <w:r>
        <w:rPr>
          <w:b/>
        </w:rPr>
        <w:t xml:space="preserve">. </w:t>
      </w:r>
      <w:r>
        <w:rPr>
          <w:i/>
        </w:rPr>
        <w:t>Укажите правильные варианты ответа</w:t>
      </w:r>
      <w:r>
        <w:t>.</w:t>
      </w:r>
      <w:r>
        <w:rPr>
          <w:b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Фазы жизненного цикла проекта включают в себя: </w:t>
      </w:r>
    </w:p>
    <w:p w:rsidR="003B228F" w:rsidRDefault="008A0EA5">
      <w:pPr>
        <w:numPr>
          <w:ilvl w:val="0"/>
          <w:numId w:val="2"/>
        </w:numPr>
        <w:spacing w:after="132" w:line="259" w:lineRule="auto"/>
        <w:ind w:right="11" w:hanging="401"/>
      </w:pPr>
      <w:r>
        <w:t xml:space="preserve">фазу разработки, выполнения, завершения; </w:t>
      </w:r>
    </w:p>
    <w:p w:rsidR="003B228F" w:rsidRDefault="008A0EA5">
      <w:pPr>
        <w:numPr>
          <w:ilvl w:val="0"/>
          <w:numId w:val="2"/>
        </w:numPr>
        <w:spacing w:after="135" w:line="259" w:lineRule="auto"/>
        <w:ind w:right="11" w:hanging="401"/>
      </w:pPr>
      <w:r>
        <w:t xml:space="preserve">фазы жизненного цикла товара; </w:t>
      </w:r>
    </w:p>
    <w:p w:rsidR="003B228F" w:rsidRDefault="008A0EA5">
      <w:pPr>
        <w:numPr>
          <w:ilvl w:val="0"/>
          <w:numId w:val="2"/>
        </w:numPr>
        <w:spacing w:after="132" w:line="259" w:lineRule="auto"/>
        <w:ind w:right="11" w:hanging="401"/>
      </w:pPr>
      <w:r>
        <w:t xml:space="preserve">концептуальную фазу, фазу разработки, выполнения и завершения; </w:t>
      </w:r>
    </w:p>
    <w:p w:rsidR="003B228F" w:rsidRDefault="008A0EA5">
      <w:pPr>
        <w:numPr>
          <w:ilvl w:val="0"/>
          <w:numId w:val="2"/>
        </w:numPr>
        <w:spacing w:after="132" w:line="259" w:lineRule="auto"/>
        <w:ind w:right="11" w:hanging="401"/>
      </w:pPr>
      <w:proofErr w:type="spellStart"/>
      <w:r>
        <w:t>прединвестиционную</w:t>
      </w:r>
      <w:proofErr w:type="spellEnd"/>
      <w:r>
        <w:t xml:space="preserve"> фазу, инвестиционную и эксплуатационную; </w:t>
      </w:r>
    </w:p>
    <w:p w:rsidR="003B228F" w:rsidRDefault="008A0EA5">
      <w:pPr>
        <w:numPr>
          <w:ilvl w:val="0"/>
          <w:numId w:val="2"/>
        </w:numPr>
        <w:spacing w:after="334" w:line="259" w:lineRule="auto"/>
        <w:ind w:right="11" w:hanging="401"/>
      </w:pPr>
      <w:r>
        <w:t xml:space="preserve">нет правильного варианта ответа. </w:t>
      </w:r>
    </w:p>
    <w:p w:rsidR="003B228F" w:rsidRDefault="008A0EA5">
      <w:pPr>
        <w:spacing w:after="131" w:line="259" w:lineRule="auto"/>
        <w:ind w:left="585" w:right="11" w:firstLine="0"/>
      </w:pPr>
      <w:r>
        <w:t xml:space="preserve">2. Контроль процесса в реализации проекта - это: </w:t>
      </w:r>
    </w:p>
    <w:p w:rsidR="003B228F" w:rsidRDefault="008A0EA5">
      <w:pPr>
        <w:numPr>
          <w:ilvl w:val="0"/>
          <w:numId w:val="3"/>
        </w:numPr>
        <w:ind w:right="11" w:hanging="401"/>
      </w:pPr>
      <w:r>
        <w:t xml:space="preserve">работы типа поддержки и руководства проектом, лоббирования во властных структурах и т.д.; </w:t>
      </w:r>
    </w:p>
    <w:p w:rsidR="003B228F" w:rsidRDefault="008A0EA5">
      <w:pPr>
        <w:numPr>
          <w:ilvl w:val="0"/>
          <w:numId w:val="3"/>
        </w:numPr>
        <w:ind w:right="11" w:hanging="401"/>
      </w:pPr>
      <w:r>
        <w:t xml:space="preserve">сравнение запланированных и реализованных к соответствующему сроку промежуточных и конечных результатов; </w:t>
      </w:r>
    </w:p>
    <w:p w:rsidR="003B228F" w:rsidRDefault="008A0EA5">
      <w:pPr>
        <w:numPr>
          <w:ilvl w:val="0"/>
          <w:numId w:val="3"/>
        </w:numPr>
        <w:spacing w:after="131" w:line="259" w:lineRule="auto"/>
        <w:ind w:right="11" w:hanging="401"/>
      </w:pPr>
      <w:r>
        <w:t xml:space="preserve">использование методов планирования временных параметров проекта. </w:t>
      </w:r>
    </w:p>
    <w:p w:rsidR="003B228F" w:rsidRDefault="008A0EA5">
      <w:pPr>
        <w:spacing w:after="131" w:line="259" w:lineRule="auto"/>
        <w:ind w:left="600" w:right="0" w:firstLine="0"/>
        <w:jc w:val="left"/>
      </w:pPr>
      <w:r>
        <w:t xml:space="preserve"> </w:t>
      </w:r>
    </w:p>
    <w:p w:rsidR="003B228F" w:rsidRDefault="008A0EA5">
      <w:pPr>
        <w:ind w:left="985" w:right="11" w:hanging="400"/>
      </w:pPr>
      <w:r>
        <w:t xml:space="preserve">3. Начальная и конечная точки любой операции описываются парой событий, которые называют: </w:t>
      </w:r>
    </w:p>
    <w:p w:rsidR="003B228F" w:rsidRDefault="008A0EA5">
      <w:pPr>
        <w:spacing w:after="131" w:line="259" w:lineRule="auto"/>
        <w:ind w:left="585" w:right="11" w:firstLine="0"/>
      </w:pPr>
      <w:r>
        <w:t xml:space="preserve">а) главным и второстепенным событием; </w:t>
      </w:r>
    </w:p>
    <w:p w:rsidR="003B228F" w:rsidRDefault="008A0EA5">
      <w:pPr>
        <w:spacing w:after="131" w:line="259" w:lineRule="auto"/>
        <w:ind w:left="585" w:right="11" w:firstLine="0"/>
      </w:pPr>
      <w:r>
        <w:t xml:space="preserve">b) первым и вторым событием; </w:t>
      </w:r>
    </w:p>
    <w:p w:rsidR="003B228F" w:rsidRDefault="008A0EA5">
      <w:pPr>
        <w:spacing w:after="145" w:line="259" w:lineRule="auto"/>
        <w:ind w:left="585" w:right="11" w:firstLine="0"/>
      </w:pPr>
      <w:r>
        <w:t xml:space="preserve">с) начальным и конечным событием. </w:t>
      </w:r>
    </w:p>
    <w:p w:rsidR="003B228F" w:rsidRDefault="008A0EA5" w:rsidP="008A0EA5">
      <w:pPr>
        <w:spacing w:after="265" w:line="259" w:lineRule="auto"/>
        <w:ind w:left="608" w:right="0" w:firstLine="0"/>
        <w:jc w:val="center"/>
      </w:pPr>
      <w:r>
        <w:rPr>
          <w:b/>
        </w:rPr>
        <w:t xml:space="preserve"> </w:t>
      </w:r>
      <w:r>
        <w:t xml:space="preserve">5 </w:t>
      </w:r>
    </w:p>
    <w:p w:rsidR="003B228F" w:rsidRDefault="008A0EA5">
      <w:pPr>
        <w:spacing w:after="0" w:line="259" w:lineRule="auto"/>
        <w:ind w:left="200" w:right="0" w:firstLine="0"/>
        <w:jc w:val="left"/>
      </w:pPr>
      <w:r>
        <w:t xml:space="preserve"> </w:t>
      </w:r>
    </w:p>
    <w:sectPr w:rsidR="003B228F">
      <w:pgSz w:w="11900" w:h="16840"/>
      <w:pgMar w:top="1195" w:right="1109" w:bottom="720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5849"/>
    <w:multiLevelType w:val="hybridMultilevel"/>
    <w:tmpl w:val="5A304EA4"/>
    <w:lvl w:ilvl="0" w:tplc="7326E9F8">
      <w:start w:val="1"/>
      <w:numFmt w:val="lowerLetter"/>
      <w:lvlText w:val="%1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48DB5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2011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0E30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C4D6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9059B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C1E8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CABD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269F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483273"/>
    <w:multiLevelType w:val="hybridMultilevel"/>
    <w:tmpl w:val="41AE22FC"/>
    <w:lvl w:ilvl="0" w:tplc="6DD61618">
      <w:start w:val="1"/>
      <w:numFmt w:val="lowerLetter"/>
      <w:lvlText w:val="%1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6769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EE53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6E56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0D6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20E5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20CA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9A068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82E9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491DD5"/>
    <w:multiLevelType w:val="hybridMultilevel"/>
    <w:tmpl w:val="5582CB68"/>
    <w:lvl w:ilvl="0" w:tplc="06E6FE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A48D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20C8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8462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C1E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0918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6F2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6D3A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C2BE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8F"/>
    <w:rsid w:val="003B228F"/>
    <w:rsid w:val="008A0EA5"/>
    <w:rsid w:val="00F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D8649-AE36-43BA-857F-9A2AB76F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360" w:lineRule="auto"/>
      <w:ind w:right="19" w:firstLine="557"/>
      <w:jc w:val="both"/>
    </w:pPr>
    <w:rPr>
      <w:rFonts w:ascii="Times New Roman" w:eastAsia="Times New Roman" w:hAnsi="Times New Roman" w:cs="Times New Roman"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Metod_ukaz_po_vyp_kontrol_rab_Upravlenie_proektami.pdf-AmelichkinaYuA</vt:lpstr>
    </vt:vector>
  </TitlesOfParts>
  <Company>ПАО "ГМК "Норильский никель"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Metod_ukaz_po_vyp_kontrol_rab_Upravlenie_proektami.pdf-AmelichkinaYuA</dc:title>
  <dc:subject/>
  <dc:creator>SerguchevDA_a-Metod_ukaz_po_vyp_kontrol_rab_Upravlenie_proektami.pdf</dc:creator>
  <cp:keywords/>
  <cp:lastModifiedBy>Амеличкина Юлия Андреевна</cp:lastModifiedBy>
  <cp:revision>3</cp:revision>
  <dcterms:created xsi:type="dcterms:W3CDTF">2016-11-08T12:27:00Z</dcterms:created>
  <dcterms:modified xsi:type="dcterms:W3CDTF">2016-11-08T12:31:00Z</dcterms:modified>
</cp:coreProperties>
</file>