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D9" w:rsidRDefault="00C645D9" w:rsidP="00C645D9">
      <w:pPr>
        <w:pStyle w:val="1"/>
        <w:rPr>
          <w:b w:val="0"/>
        </w:rPr>
      </w:pPr>
      <w:r>
        <w:rPr>
          <w:b w:val="0"/>
          <w:highlight w:val="yellow"/>
        </w:rPr>
        <w:t>РАСЧЕТ ТРУБ И ЕМКОСТЕЙ</w:t>
      </w:r>
    </w:p>
    <w:p w:rsidR="00C645D9" w:rsidRDefault="00C645D9" w:rsidP="00C645D9">
      <w:pPr>
        <w:jc w:val="center"/>
        <w:rPr>
          <w:b/>
        </w:rPr>
      </w:pP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ознакомление с методикой и расчет на прочность емкостного нефтегазового оборудования: </w:t>
      </w:r>
      <w:proofErr w:type="spellStart"/>
      <w:r>
        <w:rPr>
          <w:sz w:val="28"/>
          <w:szCs w:val="28"/>
        </w:rPr>
        <w:t>газосепараторов</w:t>
      </w:r>
      <w:proofErr w:type="spellEnd"/>
      <w:r>
        <w:rPr>
          <w:sz w:val="28"/>
          <w:szCs w:val="28"/>
        </w:rPr>
        <w:t>, трубопроводов и резервуаров.</w:t>
      </w:r>
    </w:p>
    <w:p w:rsidR="00C645D9" w:rsidRDefault="00C645D9" w:rsidP="00C645D9">
      <w:pPr>
        <w:ind w:firstLine="709"/>
        <w:jc w:val="both"/>
        <w:rPr>
          <w:b/>
          <w:sz w:val="28"/>
          <w:szCs w:val="28"/>
        </w:rPr>
      </w:pP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Отчетность</w:t>
      </w:r>
      <w:r>
        <w:rPr>
          <w:sz w:val="28"/>
          <w:szCs w:val="28"/>
        </w:rPr>
        <w:t xml:space="preserve">: отчет по </w:t>
      </w:r>
      <w:r>
        <w:rPr>
          <w:sz w:val="28"/>
          <w:szCs w:val="28"/>
        </w:rPr>
        <w:t>работе, включающий титульный лист, оформленный в соответствии с требованиями (приложение 16), цель работы, обоснование и расчеты, эскизы оборудования, вывод.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Порядок работы</w:t>
      </w:r>
      <w:r>
        <w:rPr>
          <w:sz w:val="28"/>
          <w:szCs w:val="28"/>
        </w:rPr>
        <w:t>: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исходных параметров приведены в табл. 3.1.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</w:p>
    <w:p w:rsidR="00C645D9" w:rsidRDefault="00C645D9" w:rsidP="00C645D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C645D9" w:rsidRDefault="00C645D9" w:rsidP="00C645D9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Варианты заданий для расчета труб и емкостей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551"/>
        <w:gridCol w:w="551"/>
        <w:gridCol w:w="551"/>
        <w:gridCol w:w="549"/>
        <w:gridCol w:w="506"/>
        <w:gridCol w:w="508"/>
        <w:gridCol w:w="506"/>
        <w:gridCol w:w="506"/>
        <w:gridCol w:w="552"/>
        <w:gridCol w:w="646"/>
        <w:gridCol w:w="508"/>
        <w:gridCol w:w="552"/>
        <w:gridCol w:w="548"/>
        <w:gridCol w:w="604"/>
      </w:tblGrid>
      <w:tr w:rsidR="00C645D9" w:rsidTr="00C645D9">
        <w:trPr>
          <w:trHeight w:val="365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11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Варианты</w:t>
            </w:r>
          </w:p>
        </w:tc>
      </w:tr>
      <w:tr w:rsidR="00C645D9" w:rsidTr="00C645D9">
        <w:trPr>
          <w:trHeight w:val="336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]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C645D9" w:rsidTr="00C645D9">
        <w:trPr>
          <w:trHeight w:val="346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</w:rPr>
              <w:t>Газосепаратор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645D9" w:rsidTr="00C645D9">
        <w:trPr>
          <w:trHeight w:val="317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диаметр (</w:t>
            </w:r>
            <w:proofErr w:type="spellStart"/>
            <w:r>
              <w:rPr>
                <w:color w:val="000000"/>
              </w:rPr>
              <w:t>внутр</w:t>
            </w:r>
            <w:proofErr w:type="spellEnd"/>
            <w:r>
              <w:rPr>
                <w:color w:val="000000"/>
              </w:rPr>
              <w:t xml:space="preserve">), м 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1,0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3,5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4,3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4,4</w:t>
            </w:r>
          </w:p>
        </w:tc>
      </w:tr>
      <w:tr w:rsidR="00C645D9" w:rsidTr="00C645D9">
        <w:trPr>
          <w:trHeight w:val="346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рабочее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645D9" w:rsidTr="00C645D9">
        <w:trPr>
          <w:trHeight w:val="307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давление, МПа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4,0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4,0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0,6</w:t>
            </w:r>
          </w:p>
        </w:tc>
      </w:tr>
      <w:tr w:rsidR="00C645D9" w:rsidTr="00C645D9">
        <w:trPr>
          <w:trHeight w:val="355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Трубопровод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645D9" w:rsidTr="00C645D9">
        <w:trPr>
          <w:trHeight w:val="307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диаметр, мм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150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400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450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1020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C645D9" w:rsidTr="00C645D9">
        <w:trPr>
          <w:trHeight w:val="346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рабочее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645D9" w:rsidTr="00C645D9">
        <w:trPr>
          <w:trHeight w:val="307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давление, МПа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18,0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16,0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14,0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8,0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C645D9" w:rsidTr="00C645D9">
        <w:trPr>
          <w:trHeight w:val="394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Резервуар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645D9" w:rsidTr="00C645D9">
        <w:trPr>
          <w:trHeight w:val="278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стальной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645D9" w:rsidTr="00C645D9">
        <w:trPr>
          <w:trHeight w:val="145"/>
          <w:jc w:val="center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диаметр, 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C645D9" w:rsidTr="00C645D9">
        <w:trPr>
          <w:trHeight w:val="355"/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высота, 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P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645D9">
              <w:rPr>
                <w:b/>
                <w:color w:val="FF0000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5D9" w:rsidRDefault="00C645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</w:t>
            </w:r>
          </w:p>
        </w:tc>
      </w:tr>
    </w:tbl>
    <w:p w:rsidR="00C645D9" w:rsidRDefault="00C645D9" w:rsidP="00C645D9">
      <w:pPr>
        <w:rPr>
          <w:sz w:val="28"/>
          <w:szCs w:val="28"/>
        </w:rPr>
      </w:pPr>
    </w:p>
    <w:p w:rsidR="00C645D9" w:rsidRDefault="00C645D9" w:rsidP="00C645D9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трубопроводов на механическую прочность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трубопроводов на механическую прочность сводится к определению толщины стенки, которая была бы минимальной, но в тоже время не допускала разрушения труб при эксплуатации.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толщина трубы рассчитывается по формуле:</w:t>
      </w:r>
    </w:p>
    <w:p w:rsidR="00C645D9" w:rsidRDefault="00C645D9" w:rsidP="00C645D9">
      <w:pPr>
        <w:tabs>
          <w:tab w:val="center" w:pos="4545"/>
          <w:tab w:val="right" w:pos="873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object w:dxaOrig="192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5.25pt" o:ole="">
            <v:imagedata r:id="rId5" o:title=""/>
          </v:shape>
          <o:OLEObject Type="Embed" ProgID="Equation.3" ShapeID="_x0000_i1025" DrawAspect="Content" ObjectID="_1540411187" r:id="rId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(3.1)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 xml:space="preserve"> – давление, при котором производится </w:t>
      </w:r>
      <w:proofErr w:type="spellStart"/>
      <w:r>
        <w:rPr>
          <w:sz w:val="28"/>
          <w:szCs w:val="28"/>
        </w:rPr>
        <w:t>опрессовка</w:t>
      </w:r>
      <w:proofErr w:type="spellEnd"/>
      <w:r>
        <w:rPr>
          <w:sz w:val="28"/>
          <w:szCs w:val="28"/>
        </w:rPr>
        <w:t xml:space="preserve"> труб;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вн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– номинальный внутренний диаметр трубы;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80" w:dyaOrig="360">
          <v:shape id="_x0000_i1026" type="#_x0000_t75" style="width:24pt;height:18pt" o:ole="">
            <v:imagedata r:id="rId7" o:title=""/>
          </v:shape>
          <o:OLEObject Type="Embed" ProgID="Equation.3" ShapeID="_x0000_i1026" DrawAspect="Content" ObjectID="_1540411188" r:id="rId8"/>
        </w:object>
      </w:r>
      <w:r>
        <w:rPr>
          <w:sz w:val="28"/>
          <w:szCs w:val="28"/>
        </w:rPr>
        <w:t xml:space="preserve"> - допускаемое напряжение, принимаемое равным 0,9</w:t>
      </w:r>
      <w:proofErr w:type="gramStart"/>
      <w:r>
        <w:rPr>
          <w:sz w:val="28"/>
          <w:szCs w:val="28"/>
        </w:rPr>
        <w:t>·</w:t>
      </w:r>
      <w:r>
        <w:rPr>
          <w:position w:val="-6"/>
          <w:sz w:val="28"/>
          <w:szCs w:val="28"/>
        </w:rPr>
        <w:object w:dxaOrig="375" w:dyaOrig="315">
          <v:shape id="_x0000_i1027" type="#_x0000_t75" style="width:18.75pt;height:15.75pt" o:ole="">
            <v:imagedata r:id="rId9" o:title=""/>
          </v:shape>
          <o:OLEObject Type="Embed" ProgID="Equation.3" ShapeID="_x0000_i1027" DrawAspect="Content" ObjectID="_1540411189" r:id="rId10"/>
        </w:object>
      </w:r>
      <w:r>
        <w:rPr>
          <w:sz w:val="28"/>
          <w:szCs w:val="28"/>
        </w:rPr>
        <w:t>(</w:t>
      </w:r>
      <w:proofErr w:type="gramEnd"/>
      <w:r>
        <w:rPr>
          <w:position w:val="-6"/>
          <w:sz w:val="28"/>
          <w:szCs w:val="28"/>
        </w:rPr>
        <w:object w:dxaOrig="375" w:dyaOrig="315">
          <v:shape id="_x0000_i1028" type="#_x0000_t75" style="width:18.75pt;height:15.75pt" o:ole="">
            <v:imagedata r:id="rId11" o:title=""/>
          </v:shape>
          <o:OLEObject Type="Embed" ProgID="Equation.3" ShapeID="_x0000_i1028" DrawAspect="Content" ObjectID="_1540411190" r:id="rId12"/>
        </w:object>
      </w:r>
      <w:r>
        <w:rPr>
          <w:sz w:val="28"/>
          <w:szCs w:val="28"/>
        </w:rPr>
        <w:t>- нормативное напряжение растяжения материала трубы, принимаемое минимальному значению предела текучести);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25" w:dyaOrig="255">
          <v:shape id="_x0000_i1029" type="#_x0000_t75" style="width:11.25pt;height:12.75pt" o:ole="">
            <v:imagedata r:id="rId13" o:title=""/>
          </v:shape>
          <o:OLEObject Type="Embed" ProgID="Equation.3" ShapeID="_x0000_i1029" DrawAspect="Content" ObjectID="_1540411191" r:id="rId14"/>
        </w:object>
      </w:r>
      <w:r>
        <w:rPr>
          <w:sz w:val="28"/>
          <w:szCs w:val="28"/>
        </w:rPr>
        <w:t xml:space="preserve"> - коэффициент, учитывающий двухосное напряженное состояние труб, принимается 0,75÷0,9 (также его можно определить по формуле).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Толщину труб следует принимать не менее 1/140 величины наружного диаметра труб и не менее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 Расчетная толщина стенки округляется в большую сторону до ближайшей в сортаменте труб.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</w:p>
    <w:p w:rsidR="00C645D9" w:rsidRDefault="00C645D9" w:rsidP="00C645D9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proofErr w:type="spellStart"/>
      <w:r>
        <w:rPr>
          <w:b/>
          <w:sz w:val="28"/>
          <w:szCs w:val="28"/>
        </w:rPr>
        <w:t>газосепаратора</w:t>
      </w:r>
      <w:proofErr w:type="spellEnd"/>
      <w:r>
        <w:rPr>
          <w:b/>
          <w:sz w:val="28"/>
          <w:szCs w:val="28"/>
        </w:rPr>
        <w:t xml:space="preserve"> на прочность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Дегазация нефти </w:t>
      </w:r>
      <w:r>
        <w:rPr>
          <w:sz w:val="28"/>
          <w:szCs w:val="28"/>
        </w:rPr>
        <w:t>осуществляется с целью отделения газа от нефти.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Аппарат, в котором это происходит называется </w:t>
      </w:r>
      <w:r>
        <w:rPr>
          <w:b/>
          <w:sz w:val="28"/>
          <w:szCs w:val="28"/>
        </w:rPr>
        <w:t>сепаратором</w:t>
      </w:r>
      <w:r>
        <w:rPr>
          <w:sz w:val="28"/>
          <w:szCs w:val="28"/>
        </w:rPr>
        <w:t xml:space="preserve">, а сам процесс разделения – </w:t>
      </w:r>
      <w:r>
        <w:rPr>
          <w:b/>
          <w:sz w:val="28"/>
          <w:szCs w:val="28"/>
        </w:rPr>
        <w:t>сепарацией</w:t>
      </w:r>
      <w:r>
        <w:rPr>
          <w:sz w:val="28"/>
          <w:szCs w:val="28"/>
        </w:rPr>
        <w:t>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Сепараторы бывают </w:t>
      </w:r>
      <w:r>
        <w:rPr>
          <w:b/>
          <w:sz w:val="28"/>
          <w:szCs w:val="28"/>
        </w:rPr>
        <w:t>вертикальные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горизонтальные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гидроциклонные</w:t>
      </w:r>
      <w:r>
        <w:rPr>
          <w:sz w:val="28"/>
          <w:szCs w:val="28"/>
        </w:rPr>
        <w:t>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Вертикальный сепаратор</w:t>
      </w:r>
      <w:r>
        <w:rPr>
          <w:sz w:val="28"/>
          <w:szCs w:val="28"/>
        </w:rPr>
        <w:t xml:space="preserve"> представляет собой вертикально установленный цилиндрический корпус с полусферическими днищами, снабженный патрубками для ввода газожидкостной смеси и вывода жидкой и газовой фаз, предохранительной и регулирующей арматурой, а также специальными устройствами, обеспечивающими разделение жидкости и газа.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Достоинства</w:t>
      </w:r>
      <w:r>
        <w:rPr>
          <w:sz w:val="28"/>
          <w:szCs w:val="28"/>
        </w:rPr>
        <w:t xml:space="preserve"> вертикальных сепараторов: относительная простота регулирования уровня жидкости и очистки от отложений парафина и механических примесей; занимают относительно небольшую площадь.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Недостатки</w:t>
      </w:r>
      <w:r>
        <w:rPr>
          <w:sz w:val="28"/>
          <w:szCs w:val="28"/>
        </w:rPr>
        <w:t>: меньшая производительность, по сравнению с горизонтальными при одном и том же диаметре аппарата; меньшая эффективность сепарации.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стенки </w:t>
      </w:r>
      <w:proofErr w:type="spellStart"/>
      <w:r>
        <w:rPr>
          <w:sz w:val="28"/>
          <w:szCs w:val="28"/>
        </w:rPr>
        <w:t>газосепаратора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645D9" w:rsidRDefault="00C645D9" w:rsidP="00C645D9">
      <w:pPr>
        <w:tabs>
          <w:tab w:val="center" w:pos="4365"/>
          <w:tab w:val="right" w:pos="87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180" w:dyaOrig="345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540411192" r:id="rId16"/>
        </w:object>
      </w:r>
      <w:r>
        <w:rPr>
          <w:position w:val="-30"/>
          <w:sz w:val="28"/>
          <w:szCs w:val="28"/>
        </w:rPr>
        <w:object w:dxaOrig="2400" w:dyaOrig="705">
          <v:shape id="_x0000_i1031" type="#_x0000_t75" style="width:120pt;height:35.25pt" o:ole="">
            <v:imagedata r:id="rId17" o:title=""/>
          </v:shape>
          <o:OLEObject Type="Embed" ProgID="Equation.3" ShapeID="_x0000_i1031" DrawAspect="Content" ObjectID="_1540411193" r:id="rId1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(3.2)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давление в </w:t>
      </w:r>
      <w:proofErr w:type="spellStart"/>
      <w:r>
        <w:rPr>
          <w:sz w:val="28"/>
          <w:szCs w:val="28"/>
        </w:rPr>
        <w:t>газосепараторе</w:t>
      </w:r>
      <w:proofErr w:type="spellEnd"/>
      <w:r>
        <w:rPr>
          <w:sz w:val="28"/>
          <w:szCs w:val="28"/>
        </w:rPr>
        <w:t>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вн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–внутренний диаметр </w:t>
      </w:r>
      <w:proofErr w:type="spellStart"/>
      <w:r>
        <w:rPr>
          <w:sz w:val="28"/>
          <w:szCs w:val="28"/>
        </w:rPr>
        <w:t>газосепаратора</w:t>
      </w:r>
      <w:proofErr w:type="spellEnd"/>
      <w:r>
        <w:rPr>
          <w:sz w:val="28"/>
          <w:szCs w:val="28"/>
        </w:rPr>
        <w:t>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коэффициент прочности сварных швов (принимается равным 2-3мм)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80" w:dyaOrig="360">
          <v:shape id="_x0000_i1032" type="#_x0000_t75" style="width:24pt;height:18pt" o:ole="">
            <v:imagedata r:id="rId7" o:title=""/>
          </v:shape>
          <o:OLEObject Type="Embed" ProgID="Equation.3" ShapeID="_x0000_i1032" DrawAspect="Content" ObjectID="_1540411194" r:id="rId19"/>
        </w:object>
      </w:r>
      <w:r>
        <w:rPr>
          <w:sz w:val="28"/>
          <w:szCs w:val="28"/>
        </w:rPr>
        <w:t xml:space="preserve"> - допускаемое напряжение на разрыв, МПа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95" w:dyaOrig="435">
          <v:shape id="_x0000_i1033" type="#_x0000_t75" style="width:69.75pt;height:21.75pt" o:ole="">
            <v:imagedata r:id="rId20" o:title=""/>
          </v:shape>
          <o:OLEObject Type="Embed" ProgID="Equation.3" ShapeID="_x0000_i1033" DrawAspect="Content" ObjectID="_1540411195" r:id="rId21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где </w:t>
      </w:r>
      <w:r>
        <w:rPr>
          <w:position w:val="-6"/>
          <w:sz w:val="28"/>
          <w:szCs w:val="28"/>
        </w:rPr>
        <w:object w:dxaOrig="315" w:dyaOrig="375">
          <v:shape id="_x0000_i1034" type="#_x0000_t75" style="width:15.75pt;height:18.75pt" o:ole="">
            <v:imagedata r:id="rId22" o:title=""/>
          </v:shape>
          <o:OLEObject Type="Embed" ProgID="Equation.3" ShapeID="_x0000_i1034" DrawAspect="Content" ObjectID="_1540411196" r:id="rId23"/>
        </w:objec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нормативное допускаемое напряжение (</w:t>
      </w:r>
      <w:r>
        <w:rPr>
          <w:position w:val="-10"/>
          <w:sz w:val="28"/>
          <w:szCs w:val="28"/>
        </w:rPr>
        <w:object w:dxaOrig="2115" w:dyaOrig="420">
          <v:shape id="_x0000_i1035" type="#_x0000_t75" style="width:105.75pt;height:21pt" o:ole="">
            <v:imagedata r:id="rId24" o:title=""/>
          </v:shape>
          <o:OLEObject Type="Embed" ProgID="Equation.3" ShapeID="_x0000_i1035" DrawAspect="Content" ObjectID="_1540411197" r:id="rId25"/>
        </w:object>
      </w:r>
      <w:r>
        <w:rPr>
          <w:sz w:val="28"/>
          <w:szCs w:val="28"/>
        </w:rPr>
        <w:t xml:space="preserve">- сталь Д; можно принять-300МПа), а к – коэффициент условий (для </w:t>
      </w:r>
      <w:proofErr w:type="spellStart"/>
      <w:r>
        <w:rPr>
          <w:sz w:val="28"/>
          <w:szCs w:val="28"/>
        </w:rPr>
        <w:t>газосепараторов</w:t>
      </w:r>
      <w:proofErr w:type="spellEnd"/>
      <w:r>
        <w:rPr>
          <w:sz w:val="28"/>
          <w:szCs w:val="28"/>
        </w:rPr>
        <w:t xml:space="preserve"> принимается 1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>0,9;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25" w:dyaOrig="255">
          <v:shape id="_x0000_i1036" type="#_x0000_t75" style="width:11.25pt;height:12.75pt" o:ole="">
            <v:imagedata r:id="rId13" o:title=""/>
          </v:shape>
          <o:OLEObject Type="Embed" ProgID="Equation.3" ShapeID="_x0000_i1036" DrawAspect="Content" ObjectID="_1540411198" r:id="rId26"/>
        </w:object>
      </w:r>
      <w:r>
        <w:rPr>
          <w:sz w:val="28"/>
          <w:szCs w:val="28"/>
        </w:rPr>
        <w:t xml:space="preserve"> = 0,95 (для сварных корпусов).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Стальные эллиптические днища изготовляют (ГОСТ 9617 76) диаметром от 159 до </w:t>
      </w:r>
      <w:smartTag w:uri="urn:schemas-microsoft-com:office:smarttags" w:element="metricconverter">
        <w:smartTagPr>
          <w:attr w:name="ProductID" w:val="4000 мм"/>
        </w:smartTagPr>
        <w:r>
          <w:rPr>
            <w:sz w:val="28"/>
            <w:szCs w:val="28"/>
          </w:rPr>
          <w:t>4000 мм</w:t>
        </w:r>
      </w:smartTag>
      <w:r>
        <w:rPr>
          <w:sz w:val="28"/>
          <w:szCs w:val="28"/>
        </w:rPr>
        <w:t xml:space="preserve">; отношение высоты эллиптической части днища к диаметру </w:t>
      </w:r>
      <w:proofErr w:type="gramStart"/>
      <w:r>
        <w:rPr>
          <w:sz w:val="28"/>
          <w:szCs w:val="28"/>
        </w:rPr>
        <w:t xml:space="preserve">принято </w:t>
      </w:r>
      <w:r>
        <w:rPr>
          <w:position w:val="-24"/>
          <w:sz w:val="28"/>
          <w:szCs w:val="28"/>
        </w:rPr>
        <w:object w:dxaOrig="1005" w:dyaOrig="615">
          <v:shape id="_x0000_i1037" type="#_x0000_t75" style="width:50.25pt;height:30.75pt" o:ole="">
            <v:imagedata r:id="rId27" o:title=""/>
          </v:shape>
          <o:OLEObject Type="Embed" ProgID="Equation.3" ShapeID="_x0000_i1037" DrawAspect="Content" ObjectID="_1540411199" r:id="rId28"/>
        </w:object>
      </w:r>
      <w:r>
        <w:rPr>
          <w:sz w:val="28"/>
          <w:szCs w:val="28"/>
        </w:rPr>
        <w:t>.</w:t>
      </w:r>
      <w:proofErr w:type="gramEnd"/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эллиптических днищ определяется</w:t>
      </w:r>
    </w:p>
    <w:p w:rsidR="00C645D9" w:rsidRDefault="00C645D9" w:rsidP="00C645D9">
      <w:pPr>
        <w:tabs>
          <w:tab w:val="center" w:pos="4365"/>
          <w:tab w:val="right" w:pos="87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object w:dxaOrig="2385" w:dyaOrig="675">
          <v:shape id="_x0000_i1038" type="#_x0000_t75" style="width:119.25pt;height:33.75pt" o:ole="">
            <v:imagedata r:id="rId29" o:title=""/>
          </v:shape>
          <o:OLEObject Type="Embed" ProgID="Equation.3" ShapeID="_x0000_i1038" DrawAspect="Content" ObjectID="_1540411200" r:id="rId3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(3.3)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радиус кривизны в вершине днища, </w:t>
      </w:r>
      <w:proofErr w:type="gramStart"/>
      <w:r>
        <w:rPr>
          <w:sz w:val="28"/>
          <w:szCs w:val="28"/>
        </w:rPr>
        <w:t xml:space="preserve">равный </w:t>
      </w:r>
      <w:r>
        <w:rPr>
          <w:position w:val="-24"/>
          <w:sz w:val="28"/>
          <w:szCs w:val="28"/>
        </w:rPr>
        <w:object w:dxaOrig="855" w:dyaOrig="705">
          <v:shape id="_x0000_i1039" type="#_x0000_t75" style="width:42.75pt;height:35.25pt" o:ole="">
            <v:imagedata r:id="rId31" o:title=""/>
          </v:shape>
          <o:OLEObject Type="Embed" ProgID="Equation.3" ShapeID="_x0000_i1039" DrawAspect="Content" ObjectID="_1540411201" r:id="rId32"/>
        </w:object>
      </w:r>
      <w:r>
        <w:rPr>
          <w:sz w:val="28"/>
          <w:szCs w:val="28"/>
        </w:rPr>
        <w:t>.</w:t>
      </w:r>
      <w:proofErr w:type="gramEnd"/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стандартных днищ при отношении высоты днища к его диаметру, равном </w:t>
      </w:r>
      <w:smartTag w:uri="urn:schemas-microsoft-com:office:smarttags" w:element="metricconverter">
        <w:smartTagPr>
          <w:attr w:name="ProductID" w:val="0,25 мм"/>
        </w:smartTagPr>
        <w:r>
          <w:rPr>
            <w:sz w:val="28"/>
            <w:szCs w:val="28"/>
          </w:rPr>
          <w:t>0,25 мм</w:t>
        </w:r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Днища стальные диаметром до </w:t>
      </w:r>
      <w:smartTag w:uri="urn:schemas-microsoft-com:office:smarttags" w:element="metricconverter">
        <w:smartTagPr>
          <w:attr w:name="ProductID" w:val="1600 мм"/>
        </w:smartTagPr>
        <w:r>
          <w:rPr>
            <w:sz w:val="28"/>
            <w:szCs w:val="28"/>
          </w:rPr>
          <w:t>1600 мм</w:t>
        </w:r>
      </w:smartTag>
      <w:r>
        <w:rPr>
          <w:sz w:val="28"/>
          <w:szCs w:val="28"/>
        </w:rPr>
        <w:t xml:space="preserve">, изготавливают из цельного листа, для них </w:t>
      </w:r>
      <w:r>
        <w:rPr>
          <w:position w:val="-10"/>
          <w:sz w:val="28"/>
          <w:szCs w:val="28"/>
        </w:rPr>
        <w:object w:dxaOrig="615" w:dyaOrig="315">
          <v:shape id="_x0000_i1040" type="#_x0000_t75" style="width:30.75pt;height:15.75pt" o:ole="">
            <v:imagedata r:id="rId33" o:title=""/>
          </v:shape>
          <o:OLEObject Type="Embed" ProgID="Equation.3" ShapeID="_x0000_i1040" DrawAspect="Content" ObjectID="_1540411202" r:id="rId34"/>
        </w:objec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днища принимается не меньше, чем у цилиндрической оболочки.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</w:p>
    <w:p w:rsidR="00C645D9" w:rsidRDefault="00C645D9" w:rsidP="00C645D9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стальных резервуаров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Резервуар</w:t>
      </w:r>
      <w:r>
        <w:rPr>
          <w:sz w:val="28"/>
          <w:szCs w:val="28"/>
        </w:rPr>
        <w:t xml:space="preserve"> – вместилище (наземное или подземное) для хранения жидкостей и газов.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Резервуары служат: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учета нефти;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достижения требуемого качества нефти (отстаивание от воды и </w:t>
      </w:r>
      <w:proofErr w:type="spellStart"/>
      <w:r>
        <w:rPr>
          <w:sz w:val="28"/>
          <w:szCs w:val="28"/>
        </w:rPr>
        <w:t>мехпримесей</w:t>
      </w:r>
      <w:proofErr w:type="spellEnd"/>
      <w:r>
        <w:rPr>
          <w:sz w:val="28"/>
          <w:szCs w:val="28"/>
        </w:rPr>
        <w:t>, смешение и др.)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компенсации неравномерности приема-отпуска нефти на границах участков транспортной цепи.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</w:t>
      </w:r>
      <w:r>
        <w:rPr>
          <w:b/>
          <w:i/>
          <w:sz w:val="28"/>
          <w:szCs w:val="28"/>
        </w:rPr>
        <w:t>вертикальные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горизонтальные</w:t>
      </w:r>
      <w:r>
        <w:rPr>
          <w:sz w:val="28"/>
          <w:szCs w:val="28"/>
        </w:rPr>
        <w:t xml:space="preserve">, а также </w:t>
      </w:r>
      <w:r>
        <w:rPr>
          <w:b/>
          <w:i/>
          <w:sz w:val="28"/>
          <w:szCs w:val="28"/>
        </w:rPr>
        <w:t>железобетонные</w:t>
      </w:r>
      <w:r>
        <w:rPr>
          <w:sz w:val="28"/>
          <w:szCs w:val="28"/>
        </w:rPr>
        <w:t xml:space="preserve"> резервуары.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Резервуары бывают </w:t>
      </w:r>
      <w:r>
        <w:rPr>
          <w:b/>
          <w:i/>
          <w:sz w:val="28"/>
          <w:szCs w:val="28"/>
        </w:rPr>
        <w:t>подземные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наземные</w:t>
      </w:r>
      <w:r>
        <w:rPr>
          <w:sz w:val="28"/>
          <w:szCs w:val="28"/>
        </w:rPr>
        <w:t xml:space="preserve">.  Подземными называются резервуары, у которых наивысший уровень </w:t>
      </w:r>
      <w:proofErr w:type="spellStart"/>
      <w:r>
        <w:rPr>
          <w:sz w:val="28"/>
          <w:szCs w:val="28"/>
        </w:rPr>
        <w:t>взлива</w:t>
      </w:r>
      <w:proofErr w:type="spellEnd"/>
      <w:r>
        <w:rPr>
          <w:sz w:val="28"/>
          <w:szCs w:val="28"/>
        </w:rPr>
        <w:t xml:space="preserve"> не менее чем на </w:t>
      </w:r>
      <w:smartTag w:uri="urn:schemas-microsoft-com:office:smarttags" w:element="metricconverter">
        <w:smartTagPr>
          <w:attr w:name="ProductID" w:val="0,2 м"/>
        </w:smartTagPr>
        <w:r>
          <w:rPr>
            <w:sz w:val="28"/>
            <w:szCs w:val="28"/>
          </w:rPr>
          <w:t>0,2 м</w:t>
        </w:r>
      </w:smartTag>
      <w:r>
        <w:rPr>
          <w:sz w:val="28"/>
          <w:szCs w:val="28"/>
        </w:rPr>
        <w:t xml:space="preserve"> ниже </w:t>
      </w:r>
      <w:proofErr w:type="spellStart"/>
      <w:r>
        <w:rPr>
          <w:sz w:val="28"/>
          <w:szCs w:val="28"/>
        </w:rPr>
        <w:t>наинизшей</w:t>
      </w:r>
      <w:proofErr w:type="spellEnd"/>
      <w:r>
        <w:rPr>
          <w:sz w:val="28"/>
          <w:szCs w:val="28"/>
        </w:rPr>
        <w:t xml:space="preserve"> планировочной отметки прилегающей площадки. Остальные резервуары относятся к </w:t>
      </w:r>
      <w:r>
        <w:rPr>
          <w:b/>
          <w:sz w:val="28"/>
          <w:szCs w:val="28"/>
        </w:rPr>
        <w:t>наземным</w:t>
      </w:r>
      <w:r>
        <w:rPr>
          <w:sz w:val="28"/>
          <w:szCs w:val="28"/>
        </w:rPr>
        <w:t>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Вертикальные стальные цилиндрические резервуары</w:t>
      </w:r>
      <w:r>
        <w:rPr>
          <w:sz w:val="28"/>
          <w:szCs w:val="28"/>
        </w:rPr>
        <w:t xml:space="preserve"> со стационарной крышей (типа </w:t>
      </w:r>
      <w:r>
        <w:rPr>
          <w:b/>
          <w:sz w:val="28"/>
          <w:szCs w:val="28"/>
        </w:rPr>
        <w:t>РВС</w:t>
      </w:r>
      <w:r>
        <w:rPr>
          <w:sz w:val="28"/>
          <w:szCs w:val="28"/>
        </w:rPr>
        <w:t>) – наиболее распространенные. Они представляют собой цилиндрический корпус, сваренный из стальных листов размером 1,5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6 м, толщиной 4…25 мм, со щитовой конической или сферической кровлей. Длинная сторона листов расположена горизонтально. Один горизонтальный ряд сваренных между собой листов называется </w:t>
      </w:r>
      <w:r>
        <w:rPr>
          <w:b/>
          <w:sz w:val="28"/>
          <w:szCs w:val="28"/>
        </w:rPr>
        <w:t>поясом</w:t>
      </w:r>
      <w:r>
        <w:rPr>
          <w:sz w:val="28"/>
          <w:szCs w:val="28"/>
        </w:rPr>
        <w:t xml:space="preserve"> резервуара. Пояса соединяются между собой </w:t>
      </w:r>
      <w:r>
        <w:rPr>
          <w:b/>
          <w:sz w:val="28"/>
          <w:szCs w:val="28"/>
        </w:rPr>
        <w:t>ступенчато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телескопически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встык</w:t>
      </w:r>
      <w:r>
        <w:rPr>
          <w:sz w:val="28"/>
          <w:szCs w:val="28"/>
        </w:rPr>
        <w:t>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</w:p>
    <w:p w:rsidR="00C645D9" w:rsidRDefault="00C645D9" w:rsidP="00C645D9">
      <w:pPr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A8A7025" wp14:editId="7237418E">
            <wp:extent cx="5543550" cy="13049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D9" w:rsidRDefault="00C645D9" w:rsidP="00C645D9">
      <w:pPr>
        <w:ind w:firstLine="360"/>
        <w:jc w:val="both"/>
      </w:pPr>
      <w:r>
        <w:t>Рисунок 3.1. Типы соединений</w:t>
      </w:r>
    </w:p>
    <w:p w:rsidR="00C645D9" w:rsidRDefault="00C645D9" w:rsidP="00C645D9">
      <w:pPr>
        <w:ind w:firstLine="360"/>
        <w:jc w:val="both"/>
        <w:rPr>
          <w:sz w:val="28"/>
          <w:szCs w:val="28"/>
        </w:rPr>
      </w:pP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Щитовая кровля опирается на фермы и (у резервуаров большой емкости) на центральную стойку.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Резервуары типа РВС сооружаются объемом от 100 до </w:t>
      </w:r>
      <w:smartTag w:uri="urn:schemas-microsoft-com:office:smarttags" w:element="metricconverter">
        <w:smartTagPr>
          <w:attr w:name="ProductID" w:val="50 000 м3"/>
        </w:smartTagPr>
        <w:r>
          <w:rPr>
            <w:sz w:val="28"/>
            <w:szCs w:val="28"/>
          </w:rPr>
          <w:t>50 000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. Они рассчитаны на избыточное давление 2000 Па и вакуум 200 Па.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сокращения потерь нефти от испарения вертикальные цилиндрические резервуары оснащают понтонами и плавающими крышами.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Горизонтальные стальные цилиндрические резервуары (типа РГС) </w:t>
      </w:r>
      <w:r>
        <w:rPr>
          <w:sz w:val="28"/>
          <w:szCs w:val="28"/>
        </w:rPr>
        <w:t xml:space="preserve">изготавливают, как правило, на заводе и поставляют в готовом виде. Их объем составляет от 3 до </w:t>
      </w:r>
      <w:smartTag w:uri="urn:schemas-microsoft-com:office:smarttags" w:element="metricconverter">
        <w:smartTagPr>
          <w:attr w:name="ProductID" w:val="100 м3"/>
        </w:smartTagPr>
        <w:r>
          <w:rPr>
            <w:sz w:val="28"/>
            <w:szCs w:val="28"/>
          </w:rPr>
          <w:t>100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. На нефтеперекачивающих станциях такие резервуары используют как емкости для сбора утечек.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Резервуары средней и большей емкости в целях экономии металла изготовляются с переменной толщиной стенки по высоте.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Стенки вертикальных цилиндрических резервуаров при отсутствии избыточного давления над поверхностью жидкости испытывают давление, зависящее от высоты столба уровня жидкости до рассматриваемого пояса. Например, на глубине “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” стенки испытывают внутреннее давление, рассчитываемое по формуле</w:t>
      </w:r>
    </w:p>
    <w:p w:rsidR="00C645D9" w:rsidRDefault="00C645D9" w:rsidP="00C645D9">
      <w:pPr>
        <w:tabs>
          <w:tab w:val="center" w:pos="4539"/>
          <w:tab w:val="right" w:pos="8730"/>
        </w:tabs>
        <w:ind w:firstLine="3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1185" w:dyaOrig="315">
          <v:shape id="_x0000_i1041" type="#_x0000_t75" style="width:59.25pt;height:15.75pt" o:ole="">
            <v:imagedata r:id="rId36" o:title=""/>
          </v:shape>
          <o:OLEObject Type="Embed" ProgID="Equation.3" ShapeID="_x0000_i1041" DrawAspect="Content" ObjectID="_1540411203" r:id="rId3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(3.4)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стенки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определяется из уравнения</w:t>
      </w:r>
    </w:p>
    <w:p w:rsidR="00C645D9" w:rsidRDefault="00C645D9" w:rsidP="00C645D9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position w:val="-30"/>
          <w:sz w:val="28"/>
          <w:szCs w:val="28"/>
        </w:rPr>
        <w:object w:dxaOrig="1740" w:dyaOrig="675">
          <v:shape id="_x0000_i1042" type="#_x0000_t75" style="width:87pt;height:33.75pt" o:ole="">
            <v:imagedata r:id="rId38" o:title=""/>
          </v:shape>
          <o:OLEObject Type="Embed" ProgID="Equation.3" ShapeID="_x0000_i1042" DrawAspect="Content" ObjectID="_1540411204" r:id="rId39"/>
        </w:object>
      </w:r>
      <w:r>
        <w:rPr>
          <w:sz w:val="28"/>
          <w:szCs w:val="28"/>
        </w:rPr>
        <w:t>,                                         (3.5)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внутреннее давление, которое испытывают стенки резервуара на определенной высоте;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вн</w:t>
      </w:r>
      <w:proofErr w:type="spellEnd"/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–внутренний диаметр резервуара, мм;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коэффициент прочности сварных швов (принимается равным 2-3мм);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80" w:dyaOrig="360">
          <v:shape id="_x0000_i1043" type="#_x0000_t75" style="width:24pt;height:18pt" o:ole="">
            <v:imagedata r:id="rId7" o:title=""/>
          </v:shape>
          <o:OLEObject Type="Embed" ProgID="Equation.3" ShapeID="_x0000_i1043" DrawAspect="Content" ObjectID="_1540411205" r:id="rId40"/>
        </w:object>
      </w:r>
      <w:r>
        <w:rPr>
          <w:sz w:val="28"/>
          <w:szCs w:val="28"/>
        </w:rPr>
        <w:t xml:space="preserve"> - допускаемое напряжение на растяжение, МПа.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Толщину днища резервуара принимают не более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. Крышу резервуара изготавливают из стали толщиной не более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.</w:t>
      </w:r>
    </w:p>
    <w:p w:rsidR="00C645D9" w:rsidRDefault="00C645D9" w:rsidP="00C645D9">
      <w:pPr>
        <w:jc w:val="both"/>
        <w:rPr>
          <w:rFonts w:ascii="Arial" w:hAnsi="Arial" w:cs="Arial"/>
          <w:b/>
          <w:sz w:val="28"/>
          <w:szCs w:val="28"/>
        </w:rPr>
      </w:pP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Контрольные вопросы</w:t>
      </w:r>
      <w:r>
        <w:rPr>
          <w:sz w:val="28"/>
          <w:szCs w:val="28"/>
        </w:rPr>
        <w:t>: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Принцип расчета стальных вертикальных резервуаров.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Типы резервуаров и их назначение.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Что представляет собой </w:t>
      </w:r>
      <w:proofErr w:type="spellStart"/>
      <w:r>
        <w:rPr>
          <w:sz w:val="28"/>
          <w:szCs w:val="28"/>
        </w:rPr>
        <w:t>опрессовка</w:t>
      </w:r>
      <w:proofErr w:type="spellEnd"/>
      <w:r>
        <w:rPr>
          <w:sz w:val="28"/>
          <w:szCs w:val="28"/>
        </w:rPr>
        <w:t xml:space="preserve"> труб?</w:t>
      </w:r>
    </w:p>
    <w:p w:rsidR="00C645D9" w:rsidRDefault="00C645D9" w:rsidP="00C6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Горизантальные</w:t>
      </w:r>
      <w:proofErr w:type="spellEnd"/>
      <w:r>
        <w:rPr>
          <w:sz w:val="28"/>
          <w:szCs w:val="28"/>
        </w:rPr>
        <w:t xml:space="preserve"> и вертикальные </w:t>
      </w:r>
      <w:proofErr w:type="spellStart"/>
      <w:r>
        <w:rPr>
          <w:sz w:val="28"/>
          <w:szCs w:val="28"/>
        </w:rPr>
        <w:t>газосепараторы</w:t>
      </w:r>
      <w:proofErr w:type="spellEnd"/>
      <w:r>
        <w:rPr>
          <w:sz w:val="28"/>
          <w:szCs w:val="28"/>
        </w:rPr>
        <w:t>.</w:t>
      </w:r>
    </w:p>
    <w:p w:rsidR="0030718C" w:rsidRDefault="0030718C"/>
    <w:sectPr w:rsidR="0030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0DC"/>
    <w:multiLevelType w:val="hybridMultilevel"/>
    <w:tmpl w:val="C1EE6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30D8"/>
    <w:multiLevelType w:val="hybridMultilevel"/>
    <w:tmpl w:val="779650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01"/>
    <w:rsid w:val="0030718C"/>
    <w:rsid w:val="00784401"/>
    <w:rsid w:val="00C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C9EBE-3D9D-4F96-8265-A31669D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Л1"/>
    <w:basedOn w:val="a"/>
    <w:rsid w:val="00C645D9"/>
    <w:pPr>
      <w:jc w:val="center"/>
    </w:pPr>
    <w:rPr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2016-11-11T16:11:00Z</dcterms:created>
  <dcterms:modified xsi:type="dcterms:W3CDTF">2016-11-11T16:13:00Z</dcterms:modified>
</cp:coreProperties>
</file>