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Предмет: Управление оборотным капиталом</w:t>
      </w:r>
      <w:bookmarkStart w:id="0" w:name="_GoBack"/>
      <w:bookmarkEnd w:id="0"/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Методические рекомендации по выполнению контрольной работы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контрольной работы — закрепить полученные теоретические знания по учебной дисциплине «Управление оборотным капиталом» и сформировать практические навыки по планированию, анализу и контролю элементов оборотного капитала компании.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Контрольная работа выполняется студентом в письменном виде. Выполнение контрольной работы позволяет сформировать систему ключевых компетенций, обеспечивающих эффективность управления оборотным капиталом организации, овладение знаниями и навыками в области управления финансами на краткосрочную перспективу</w:t>
      </w:r>
      <w:proofErr w:type="gramStart"/>
      <w:r>
        <w:rPr>
          <w:color w:val="000000"/>
          <w:sz w:val="27"/>
          <w:szCs w:val="27"/>
        </w:rPr>
        <w:t>.</w:t>
      </w:r>
      <w:proofErr w:type="gramEnd"/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 Для выполнения задания необходимо изучить соответствующие нормативные документы и экономическую литературу, рекомендуемые для изучения данной учебной дисциплины.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Каждое задание предполагает ответ на теоретический вопрос. Студент должен подробно (на 2-3 стр.) рассмотреть все аспекты вопроса, а также отразить современное состояние и тенденции развития указанной проблемы в РФ.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задачи предполагает приведение алгоритма расчета и объяснение экономического смысла полученного значения показателя.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выполнении тестовых заданий следует указывать номера правильных ответов - не менее одного, в зависимости от смыслового содержания теста.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необходимости в процессе работы над заданием студент может получить индивидуальную консультацию у преподавателя.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Выполненное задание проверяется преподавателем и оценивается по зачетной системе.</w:t>
      </w:r>
    </w:p>
    <w:p w:rsidR="00EB02FC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Примерные варианты контрольной работы приведены. Задачи, предложенные в контрольной работе, должны быть решены с использованием технических средств и соответствующих программных</w:t>
      </w:r>
      <w:r>
        <w:rPr>
          <w:color w:val="000000"/>
          <w:sz w:val="27"/>
          <w:szCs w:val="27"/>
        </w:rPr>
        <w:t xml:space="preserve"> продуктов.</w:t>
      </w:r>
    </w:p>
    <w:p w:rsidR="00971003" w:rsidRDefault="0097100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Вариант 3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Теоретический вопрос 1. Построение системы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движением и своевременной инкассацией дебиторской задолженности.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Тест 1. Для расчета суммы собственного оборотного капитала предприятия необходимо иметь данные по трем показателям, среди которых: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сумма оборотных активов предприятия;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сумма долгосрочного заемного капитала, используемого для финансирования оборотных активов предприятия;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сумма </w:t>
      </w:r>
      <w:proofErr w:type="spellStart"/>
      <w:r>
        <w:rPr>
          <w:color w:val="000000"/>
          <w:sz w:val="27"/>
          <w:szCs w:val="27"/>
        </w:rPr>
        <w:t>внеоборотных</w:t>
      </w:r>
      <w:proofErr w:type="spellEnd"/>
      <w:r>
        <w:rPr>
          <w:color w:val="000000"/>
          <w:sz w:val="27"/>
          <w:szCs w:val="27"/>
        </w:rPr>
        <w:t xml:space="preserve"> активов;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сумма краткосрочного заемного капитала, привлеченного предприятием.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Тест 2. Величина текущих финансовых потребностей выше у фирм, в которых: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стоимость сырья выше;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добавленная стоимость выше;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период оплаты кредиторской задолженности выше;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период оплаты дебиторской задолженности выше.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1.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Определите суммарный лимит дебиторской задолженности покупателей, а также лимит дебиторской задолженности и срок предоставляемой отсрочки для каждого из покупателей, используя данные табл. 1 и табл. 2.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Таблица 1- Прогнозные показатели компании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Показатели Значения, тыс. </w:t>
      </w:r>
      <w:proofErr w:type="spellStart"/>
      <w:r>
        <w:rPr>
          <w:color w:val="000000"/>
          <w:sz w:val="27"/>
          <w:szCs w:val="27"/>
        </w:rPr>
        <w:t>ден</w:t>
      </w:r>
      <w:proofErr w:type="spellEnd"/>
      <w:r>
        <w:rPr>
          <w:color w:val="000000"/>
          <w:sz w:val="27"/>
          <w:szCs w:val="27"/>
        </w:rPr>
        <w:t>. ед.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Собственные оборотные средства 100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Долгосрочные обязательства 50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Краткосрочные кредиты и займы 80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Кредиторская задолженность 70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Запасы и НДС по приобретенным ценностям 100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Дебиторская задолженность, не включающая дебиторскую</w:t>
      </w:r>
      <w:proofErr w:type="gramEnd"/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задолженность покупателей 75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Краткосрочные финансовые вложения 20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Денежные средства 15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Таблица 2 - Характеристика покупателей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Покупатели Прогнозируемая выручка, тыс. </w:t>
      </w:r>
      <w:proofErr w:type="spellStart"/>
      <w:r>
        <w:rPr>
          <w:color w:val="000000"/>
          <w:sz w:val="27"/>
          <w:szCs w:val="27"/>
        </w:rPr>
        <w:t>ден</w:t>
      </w:r>
      <w:proofErr w:type="spellEnd"/>
      <w:r>
        <w:rPr>
          <w:color w:val="000000"/>
          <w:sz w:val="27"/>
          <w:szCs w:val="27"/>
        </w:rPr>
        <w:t>. ед. Коэффициент надежности и выгодности покупателей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Покупатель 1 300 1,45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Покупатель 2 160 0,90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Покупатель 1 140 0,15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2.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Компания продает спортивные товары и ежегодно реализует 18000 велосипедов. При этом в последние годы вследствие изменчивости погоды стало сложнее точно прогнозировать спрос, и поэтому компания поддерживает страховой запас на уровне 1000 велосипедов. Цена закупки велосипедов у производителя 5625 у.е. Уровень затрат по хранению составляет 10% от стоимости средних запасов. Затраты по размещению и выполнению заказов являются постоянными и равны 24025 у.е. Определите: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число велосипедов, которое необходимо заказывать компании;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величину среднего запаса (с учетом страхового запаса);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среднюю стоимость запасов;</w:t>
      </w:r>
    </w:p>
    <w:p w:rsidR="00971003" w:rsidRDefault="00971003" w:rsidP="0097100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увеличение затрат на хранение в абсолютном выражении.</w:t>
      </w:r>
    </w:p>
    <w:p w:rsidR="00971003" w:rsidRPr="00971003" w:rsidRDefault="00971003" w:rsidP="00971003">
      <w:pPr>
        <w:pStyle w:val="a3"/>
        <w:rPr>
          <w:color w:val="000000"/>
          <w:sz w:val="27"/>
          <w:szCs w:val="27"/>
        </w:rPr>
      </w:pPr>
    </w:p>
    <w:sectPr w:rsidR="00971003" w:rsidRPr="0097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03"/>
    <w:rsid w:val="00971003"/>
    <w:rsid w:val="00EB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2016-12-15T10:45:00Z</dcterms:created>
  <dcterms:modified xsi:type="dcterms:W3CDTF">2016-12-15T10:47:00Z</dcterms:modified>
</cp:coreProperties>
</file>